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alibri" w:cs="Calibri" w:eastAsia="Calibri" w:hAnsi="Calibri"/>
          <w:i w:val="1"/>
          <w:color w:val="44546a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44546a"/>
          <w:sz w:val="18"/>
          <w:szCs w:val="18"/>
          <w:rtl w:val="0"/>
        </w:rPr>
        <w:t xml:space="preserve">День 1-й, 30 червня 2020 р.</w:t>
      </w:r>
    </w:p>
    <w:tbl>
      <w:tblPr>
        <w:tblStyle w:val="Table1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0"/>
        <w:gridCol w:w="3825"/>
        <w:gridCol w:w="2175"/>
        <w:tblGridChange w:id="0">
          <w:tblGrid>
            <w:gridCol w:w="2880"/>
            <w:gridCol w:w="3825"/>
            <w:gridCol w:w="2175"/>
          </w:tblGrid>
        </w:tblGridChange>
      </w:tblGrid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1f1e"/>
                <w:rtl w:val="0"/>
              </w:rPr>
              <w:t xml:space="preserve">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Доповідач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15:30 – 15:40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Привітальне слово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СБ та представники державних органів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15:40 – 15:55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ГСБ та проблема неплатоспроможності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Андрес Мартінес / Серхіо Муро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15:55 – 16:30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Вірус COVID-19 та проблема неплатоспроможності: збереження життєздатних підприємств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Андрес Мартінес / Серхіо Муро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16:30 – 16:50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COVID-19: приклад Голландії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Сіджмен де Раніц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16:50 – 17:10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COVID-19: приклад Німеччини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Хайнц Валлендер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17:10 – 17:50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Питання та відповіді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Roboto" w:cs="Roboto" w:eastAsia="Roboto" w:hAnsi="Roboto"/>
                <w:color w:val="201f1e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17:50 – 18:00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Завершальні коментарі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СБ та представники державних органів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00" w:lineRule="auto"/>
        <w:rPr>
          <w:rFonts w:ascii="Calibri" w:cs="Calibri" w:eastAsia="Calibri" w:hAnsi="Calibri"/>
          <w:i w:val="1"/>
          <w:color w:val="44546a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44546a"/>
          <w:sz w:val="18"/>
          <w:szCs w:val="18"/>
          <w:rtl w:val="0"/>
        </w:rPr>
        <w:t xml:space="preserve">День 1-й, 2 липня 2020 р.</w:t>
      </w:r>
    </w:p>
    <w:tbl>
      <w:tblPr>
        <w:tblStyle w:val="Table2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5"/>
        <w:gridCol w:w="3840"/>
        <w:gridCol w:w="2175"/>
        <w:tblGridChange w:id="0">
          <w:tblGrid>
            <w:gridCol w:w="2865"/>
            <w:gridCol w:w="3840"/>
            <w:gridCol w:w="2175"/>
          </w:tblGrid>
        </w:tblGridChange>
      </w:tblGrid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1f1e"/>
                <w:rtl w:val="0"/>
              </w:rPr>
              <w:t xml:space="preserve">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Доповідач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15:30 – 15:40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Привітальне слово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СБ та представники державних органів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15:40 – 15:50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Вступ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Андрес Мартінес / Серхіо Муро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15:50 – 16:25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Практичні питання щодо банкрутства: відсутність активів, виплати кредиторам та нагляд з боку довірених керуючих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Сіджмен де Раніц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16:25 – 16:50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Питання та відповіді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Roboto" w:cs="Roboto" w:eastAsia="Roboto" w:hAnsi="Roboto"/>
                <w:color w:val="201f1e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16:50 – 17:25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Особиста неплатоспроможність: реструктуризація боргів боржника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Хайнц Валлендер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17:25 – 17:50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Питання та відповіді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Roboto" w:cs="Roboto" w:eastAsia="Roboto" w:hAnsi="Roboto"/>
                <w:color w:val="201f1e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17:50 – 18:00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Завершальні коментарі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201f1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rtl w:val="0"/>
              </w:rPr>
              <w:t xml:space="preserve">СБ та представники державних органів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Fonts w:ascii="Calibri" w:cs="Calibri" w:eastAsia="Calibri" w:hAnsi="Calibri"/>
          <w:color w:val="201f1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