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77" w:rsidRPr="00A237AF" w:rsidRDefault="00770B77" w:rsidP="00770B77">
      <w:pPr>
        <w:spacing w:after="0" w:line="240" w:lineRule="auto"/>
        <w:rPr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237AF">
        <w:rPr>
          <w:rFonts w:ascii="Times New Roman" w:hAnsi="Times New Roman"/>
          <w:b/>
          <w:sz w:val="28"/>
          <w:szCs w:val="28"/>
          <w:lang w:val="uk-UA"/>
        </w:rPr>
        <w:t>Додаток 23</w:t>
      </w:r>
    </w:p>
    <w:p w:rsidR="00770B77" w:rsidRPr="00A237AF" w:rsidRDefault="00770B77" w:rsidP="00770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B77" w:rsidRPr="00A237AF" w:rsidRDefault="00770B77" w:rsidP="00770B7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37AF">
        <w:rPr>
          <w:rFonts w:ascii="Times New Roman" w:hAnsi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37AF">
        <w:rPr>
          <w:rFonts w:ascii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37AF"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37AF">
        <w:rPr>
          <w:rFonts w:ascii="Times New Roman" w:hAnsi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37AF">
        <w:rPr>
          <w:rFonts w:ascii="Times New Roman" w:hAnsi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37AF">
        <w:rPr>
          <w:rFonts w:ascii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37AF">
        <w:rPr>
          <w:rFonts w:ascii="Times New Roman" w:hAnsi="Times New Roman"/>
          <w:b/>
          <w:sz w:val="28"/>
          <w:szCs w:val="28"/>
          <w:lang w:val="uk-UA"/>
        </w:rPr>
        <w:t>К</w:t>
      </w:r>
    </w:p>
    <w:p w:rsidR="00770B77" w:rsidRPr="00A237AF" w:rsidRDefault="00770B77" w:rsidP="00770B77">
      <w:pPr>
        <w:spacing w:line="240" w:lineRule="auto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  <w:bookmarkStart w:id="0" w:name="_Hlk31730230"/>
      <w:r w:rsidRPr="00A237AF">
        <w:rPr>
          <w:rFonts w:ascii="Times New Roman" w:hAnsi="Times New Roman"/>
          <w:b/>
          <w:sz w:val="28"/>
          <w:szCs w:val="28"/>
          <w:lang w:val="uk-UA"/>
        </w:rPr>
        <w:t xml:space="preserve">узагальнення даних </w:t>
      </w:r>
      <w:bookmarkStart w:id="1" w:name="_Hlk31727737"/>
      <w:r w:rsidRPr="00A237AF">
        <w:rPr>
          <w:rFonts w:ascii="Times New Roman" w:hAnsi="Times New Roman"/>
          <w:b/>
          <w:sz w:val="28"/>
          <w:szCs w:val="28"/>
          <w:lang w:val="uk-UA"/>
        </w:rPr>
        <w:t>щодо підготовки та підвищення кваліфікації</w:t>
      </w:r>
      <w:r w:rsidRPr="00A237AF" w:rsidDel="00DD49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37AF">
        <w:rPr>
          <w:rFonts w:ascii="Times New Roman" w:hAnsi="Times New Roman"/>
          <w:b/>
          <w:sz w:val="28"/>
          <w:szCs w:val="28"/>
          <w:lang w:val="uk-UA"/>
        </w:rPr>
        <w:t xml:space="preserve">суддів і працівників апаратів судів </w:t>
      </w:r>
      <w:bookmarkEnd w:id="1"/>
      <w:r w:rsidRPr="00A237AF">
        <w:rPr>
          <w:rFonts w:ascii="Times New Roman" w:hAnsi="Times New Roman"/>
          <w:b/>
          <w:sz w:val="28"/>
          <w:szCs w:val="28"/>
          <w:lang w:val="uk-UA"/>
        </w:rPr>
        <w:t>у Національній школі суддів України</w:t>
      </w:r>
      <w:bookmarkEnd w:id="0"/>
    </w:p>
    <w:p w:rsidR="00770B77" w:rsidRPr="001163E1" w:rsidRDefault="00770B77" w:rsidP="00770B77">
      <w:pPr>
        <w:shd w:val="clear" w:color="auto" w:fill="FFFFFF"/>
        <w:tabs>
          <w:tab w:val="left" w:pos="963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1163E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засади</w:t>
      </w:r>
    </w:p>
    <w:p w:rsidR="00770B77" w:rsidRPr="001163E1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Цим Порядком визначається зміст, процедура та строки узагальнення даних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суддів і працівників апаратів судів у Національній школі суддів України  </w:t>
      </w:r>
      <w:r w:rsidRPr="001163E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(далі –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НШСУ, Підготовка відповідно</w:t>
      </w:r>
      <w:r w:rsidRPr="001163E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) 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при складанні інформації та аналітичних звітів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діяльн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суддів, підготовки працівників  апаратів судів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Звітність)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B77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161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6164C">
        <w:rPr>
          <w:rFonts w:ascii="Times New Roman" w:hAnsi="Times New Roman" w:cs="Times New Roman"/>
          <w:sz w:val="28"/>
          <w:szCs w:val="28"/>
          <w:lang w:val="uk-UA"/>
        </w:rPr>
        <w:t>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зазначених даних є:</w:t>
      </w:r>
      <w:r w:rsidRPr="0016164C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об’єктивної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складання звітності</w:t>
      </w:r>
      <w:r w:rsidRPr="00161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B0F"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Pr="00430974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висококваліфікованих кадрів для системи правосуддя, удосконалення аналітичної роботи в Національній школі суддів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 що в цілому надає можливість керівництву НШСУ приймати обґрунтовані управлінські рішення.</w:t>
      </w:r>
    </w:p>
    <w:p w:rsidR="00770B77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Звітність в НШСУ базується на принципах достовірності, повноти і системності, своєчасності. Це означає, що</w:t>
      </w:r>
      <w:r w:rsidRPr="006B5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інформація, яка наведена у звітності:</w:t>
      </w:r>
    </w:p>
    <w:p w:rsidR="00770B77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1.3.1. 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>не містить помилок та перекручень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0B77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1.3.2. відображає всі проведені навчальні заходи, узагальнює дані охоплених Підготовкою суддів і працівників апаратів судів (далі – Слухачів) за упорядкованими і затвердженими формами, аналізує і прогнозує тенденції з використанням загально-логічних і кількісно-якісних методів дослідження;</w:t>
      </w:r>
    </w:p>
    <w:p w:rsidR="00770B77" w:rsidRPr="00EE3A42" w:rsidRDefault="00770B77" w:rsidP="00770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1.3.3. відповідає вимогам, визначеним параграфом 5 “Складання Інформаційно-аналітичного звіту про діяльність НШСУ” глави 2 розділу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Національної школи суддів України (нова редакція).</w:t>
      </w:r>
    </w:p>
    <w:p w:rsidR="00770B77" w:rsidRDefault="00770B77" w:rsidP="0077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B77" w:rsidRPr="001163E1" w:rsidRDefault="00770B77" w:rsidP="00770B77">
      <w:pPr>
        <w:shd w:val="clear" w:color="auto" w:fill="FFFFFF"/>
        <w:tabs>
          <w:tab w:val="left" w:pos="0"/>
          <w:tab w:val="left" w:pos="9639"/>
        </w:tabs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 Зміст,</w:t>
      </w:r>
      <w:r w:rsidRPr="001163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форм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 та строки</w:t>
      </w:r>
      <w:r w:rsidRPr="001163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Pr="001163E1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вітності</w:t>
      </w:r>
    </w:p>
    <w:p w:rsidR="00770B77" w:rsidRPr="001163E1" w:rsidRDefault="00770B77" w:rsidP="00770B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Узагальнені дані включають у себе кількісні показники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суддів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підготовки працівників апаратів судів 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та кожного </w:t>
      </w:r>
      <w:r>
        <w:rPr>
          <w:rFonts w:ascii="Times New Roman" w:hAnsi="Times New Roman" w:cs="Times New Roman"/>
          <w:sz w:val="28"/>
          <w:szCs w:val="28"/>
          <w:lang w:val="uk-UA"/>
        </w:rPr>
        <w:t>регіонального відділення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НШСУ про проведені 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рамках кожного виду Підготовки, кількісні дані про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>лухачів, які брали в них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>, зокрема за підсумками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770B77" w:rsidRPr="001163E1" w:rsidRDefault="00770B77" w:rsidP="00770B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2.1.1. п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ідготовк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суддів, у тому числі обраних на адміністративні посади в судах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0B77" w:rsidRPr="001163E1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2.1.2. п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еріодичн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  навчання  суддів з метою підвищення  рівня їхньої 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0B77" w:rsidRPr="001163E1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2.1.3. п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роведення курсів навчання, визначених кваліфікаційним або дисциплінарним органом, для підвищення кваліфікації суддів, які тимчасово відсторонені  від здійснення правосуддя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0B77" w:rsidRPr="006577C4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2.1.4. 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підготовки працівників апаратів судів</w:t>
      </w:r>
      <w:r w:rsidRPr="00357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6577C4">
        <w:rPr>
          <w:rFonts w:ascii="Times New Roman" w:hAnsi="Times New Roman" w:cs="Times New Roman"/>
          <w:sz w:val="28"/>
          <w:szCs w:val="28"/>
          <w:lang w:val="uk-UA"/>
        </w:rPr>
        <w:t>підвищення  рівня їхньої 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B77" w:rsidRPr="001163E1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 xml:space="preserve">Форми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>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B77" w:rsidRPr="00A237AF" w:rsidRDefault="00770B77" w:rsidP="00770B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2.2.1. 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>Форм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>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(додатки 31, 32 до Регламенту НШСУ)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 xml:space="preserve"> заповнюються за всіма зазначеними в ній позиціями, графами, рядками. За відсутності даних незаповнені рядки прокреслюються або заповнюються нулями.</w:t>
      </w:r>
    </w:p>
    <w:p w:rsidR="00770B77" w:rsidRPr="00A237AF" w:rsidRDefault="00770B77" w:rsidP="00770B77">
      <w:pPr>
        <w:pStyle w:val="HTML"/>
        <w:shd w:val="clear" w:color="auto" w:fill="FFFFFF"/>
        <w:tabs>
          <w:tab w:val="clear" w:pos="1832"/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2.2.2. 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 xml:space="preserve">Форми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 xml:space="preserve">вітності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 xml:space="preserve"> пояснювальні записки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них, інформації та інформаційно-аналітичні звіти про діяльність відділу вважаються нікчемними без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 xml:space="preserve"> підпису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B77" w:rsidRPr="00A237AF" w:rsidRDefault="00770B77" w:rsidP="00770B77">
      <w:pPr>
        <w:pStyle w:val="HTML"/>
        <w:shd w:val="clear" w:color="auto" w:fill="FFFFFF"/>
        <w:tabs>
          <w:tab w:val="clear" w:pos="1832"/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2.2.3. 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 xml:space="preserve">У  завізовані </w:t>
      </w:r>
      <w:r>
        <w:rPr>
          <w:rFonts w:ascii="Times New Roman" w:hAnsi="Times New Roman" w:cs="Times New Roman"/>
          <w:sz w:val="28"/>
          <w:szCs w:val="28"/>
          <w:lang w:val="uk-UA"/>
        </w:rPr>
        <w:t>форми і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 xml:space="preserve"> звіти  забороняється  вносити  зміни без попереднього погодження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проректором </w:t>
      </w:r>
      <w:r w:rsidRPr="00CF0FB4">
        <w:rPr>
          <w:rFonts w:ascii="Times New Roman" w:hAnsi="Times New Roman" w:cs="Times New Roman"/>
          <w:sz w:val="28"/>
          <w:szCs w:val="28"/>
          <w:lang w:val="uk-UA"/>
        </w:rPr>
        <w:t>з підготовки кадрів для системи правосуддя</w:t>
      </w:r>
      <w:r w:rsidRPr="00A237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B77" w:rsidRPr="001163E1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В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ідділи підготовки суддів, підготовки працівників апаратів судів </w:t>
      </w:r>
      <w:r>
        <w:rPr>
          <w:rFonts w:ascii="Times New Roman" w:hAnsi="Times New Roman" w:cs="Times New Roman"/>
          <w:sz w:val="28"/>
          <w:szCs w:val="28"/>
          <w:lang w:val="uk-UA"/>
        </w:rPr>
        <w:t>з урахуванням подань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відділен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НШСУ складають інформації про роботу за І півріччя,  інформаційно-аналітичні звіти про діяльність за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подають їх до</w:t>
      </w:r>
      <w:r w:rsidRPr="00EB7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77C4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, що відповідає за</w:t>
      </w:r>
      <w:r w:rsidRPr="006577C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документальн</w:t>
      </w:r>
      <w:r>
        <w:rPr>
          <w:rFonts w:ascii="Times New Roman" w:hAnsi="Times New Roman" w:cs="Times New Roman"/>
          <w:sz w:val="28"/>
          <w:szCs w:val="28"/>
          <w:lang w:val="uk-UA"/>
        </w:rPr>
        <w:t>е забезпечення</w:t>
      </w:r>
      <w:r w:rsidRPr="00657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НШСУ, не пізніше останнього робочого дня останнього місяця І півріччя та року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B77" w:rsidRPr="006577C4" w:rsidRDefault="00770B77" w:rsidP="00770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2.3.1. Попередні у</w:t>
      </w:r>
      <w:r w:rsidRPr="006577C4">
        <w:rPr>
          <w:rFonts w:ascii="Times New Roman" w:hAnsi="Times New Roman" w:cs="Times New Roman"/>
          <w:sz w:val="28"/>
          <w:szCs w:val="28"/>
          <w:lang w:val="uk-UA"/>
        </w:rPr>
        <w:t>загальнені дан</w:t>
      </w:r>
      <w:r>
        <w:rPr>
          <w:rFonts w:ascii="Times New Roman" w:hAnsi="Times New Roman" w:cs="Times New Roman"/>
          <w:sz w:val="28"/>
          <w:szCs w:val="28"/>
          <w:lang w:val="uk-UA"/>
        </w:rPr>
        <w:t>і, узагальнені інформації та звіти</w:t>
      </w:r>
      <w:r w:rsidRPr="006577C4">
        <w:rPr>
          <w:rFonts w:ascii="Times New Roman" w:hAnsi="Times New Roman" w:cs="Times New Roman"/>
          <w:sz w:val="28"/>
          <w:szCs w:val="28"/>
          <w:lang w:val="uk-UA"/>
        </w:rPr>
        <w:t>, підписані 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577C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577C4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ів і</w:t>
      </w:r>
      <w:r w:rsidRPr="006577C4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затверджені проректором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0FB4">
        <w:rPr>
          <w:rFonts w:ascii="Times New Roman" w:eastAsia="Times New Roman" w:hAnsi="Times New Roman" w:cs="Times New Roman"/>
          <w:sz w:val="28"/>
          <w:szCs w:val="28"/>
          <w:lang w:val="uk-UA"/>
        </w:rPr>
        <w:t>з підготовки кадрів для системи правосуддя</w:t>
      </w:r>
      <w:r w:rsidRPr="006577C4">
        <w:rPr>
          <w:rFonts w:ascii="Times New Roman" w:hAnsi="Times New Roman" w:cs="Times New Roman"/>
          <w:sz w:val="28"/>
          <w:szCs w:val="28"/>
          <w:lang w:val="uk-UA"/>
        </w:rPr>
        <w:t xml:space="preserve">, подаються до </w:t>
      </w:r>
      <w:r>
        <w:rPr>
          <w:rFonts w:ascii="Times New Roman" w:hAnsi="Times New Roman" w:cs="Times New Roman"/>
          <w:sz w:val="28"/>
          <w:szCs w:val="28"/>
          <w:lang w:val="uk-UA"/>
        </w:rPr>
        <w:t>останнього робочого дня другого тижня червня та грудня</w:t>
      </w:r>
      <w:r w:rsidRPr="006577C4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відповідно.</w:t>
      </w:r>
    </w:p>
    <w:p w:rsidR="00770B77" w:rsidRDefault="00770B77" w:rsidP="00770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B77" w:rsidRPr="001163E1" w:rsidRDefault="00770B77" w:rsidP="00770B77">
      <w:pPr>
        <w:tabs>
          <w:tab w:val="left" w:pos="5103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63E1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Процедури о</w:t>
      </w:r>
      <w:r w:rsidRPr="001163E1">
        <w:rPr>
          <w:rFonts w:ascii="Times New Roman" w:hAnsi="Times New Roman" w:cs="Times New Roman"/>
          <w:b/>
          <w:sz w:val="28"/>
          <w:szCs w:val="28"/>
          <w:lang w:val="uk-UA"/>
        </w:rPr>
        <w:t>блік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116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підтвердження проходження Підготовки</w:t>
      </w:r>
    </w:p>
    <w:p w:rsidR="00770B77" w:rsidRDefault="00770B77" w:rsidP="00770B7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3.1. Процедури обліку та підтвердження проходження Підготовки регулюються Регламентом Національної школи суддів України (нова редакція), </w:t>
      </w:r>
      <w:r w:rsidRPr="00430974">
        <w:rPr>
          <w:rFonts w:ascii="Times New Roman" w:hAnsi="Times New Roman"/>
          <w:bCs/>
          <w:sz w:val="28"/>
          <w:szCs w:val="28"/>
          <w:lang w:val="uk-UA"/>
        </w:rPr>
        <w:t>Положення</w:t>
      </w:r>
      <w:r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43097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04456">
        <w:rPr>
          <w:rFonts w:ascii="Times New Roman" w:hAnsi="Times New Roman"/>
          <w:bCs/>
          <w:sz w:val="28"/>
          <w:szCs w:val="28"/>
          <w:lang w:val="uk-UA"/>
        </w:rPr>
        <w:t>про підготовку та періодичне навчання суддів</w:t>
      </w:r>
      <w:r w:rsidRPr="000370E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6164C">
        <w:rPr>
          <w:rFonts w:ascii="Times New Roman" w:hAnsi="Times New Roman"/>
          <w:bCs/>
          <w:sz w:val="28"/>
          <w:szCs w:val="28"/>
          <w:lang w:val="uk-UA"/>
        </w:rPr>
        <w:t>у Національній школі суддів України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цим Порядком.</w:t>
      </w:r>
    </w:p>
    <w:p w:rsidR="00770B77" w:rsidRDefault="00770B77" w:rsidP="00770B7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3.2. О</w:t>
      </w:r>
      <w:r w:rsidRPr="00483058">
        <w:rPr>
          <w:rFonts w:ascii="Times New Roman" w:hAnsi="Times New Roman" w:cs="Times New Roman"/>
          <w:sz w:val="28"/>
          <w:szCs w:val="28"/>
          <w:lang w:val="uk-UA"/>
        </w:rPr>
        <w:t xml:space="preserve">блік відвідуваності занять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Слухачами</w:t>
      </w:r>
      <w:r w:rsidRPr="00483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ід час проведення Підготовки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еєстр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відвідування занять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суддями і працівниками апаратів судів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(далі – Реєстр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з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додат</w:t>
      </w:r>
      <w:r>
        <w:rPr>
          <w:rFonts w:ascii="Times New Roman" w:hAnsi="Times New Roman" w:cs="Times New Roman"/>
          <w:sz w:val="28"/>
          <w:szCs w:val="28"/>
          <w:lang w:val="uk-UA"/>
        </w:rPr>
        <w:t>ками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1, </w:t>
      </w:r>
      <w:r>
        <w:rPr>
          <w:rFonts w:ascii="Times New Roman" w:hAnsi="Times New Roman" w:cs="Times New Roman"/>
          <w:sz w:val="28"/>
          <w:szCs w:val="28"/>
          <w:lang w:val="uk-UA"/>
        </w:rPr>
        <w:t>2 до цього Порядку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B77" w:rsidRPr="00770B77" w:rsidRDefault="00770B77" w:rsidP="00770B7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0B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3.2.1. </w:t>
      </w:r>
      <w:r w:rsidRPr="00770B77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на дистанційний курс навчання </w:t>
      </w:r>
      <w:r w:rsidRPr="00770B77">
        <w:rPr>
          <w:rFonts w:ascii="Times New Roman" w:eastAsia="Calibri" w:hAnsi="Times New Roman" w:cs="Times New Roman"/>
          <w:sz w:val="28"/>
          <w:szCs w:val="28"/>
          <w:lang w:val="uk-UA"/>
        </w:rPr>
        <w:t>чи в онлайн режимі</w:t>
      </w:r>
      <w:r w:rsidRPr="00770B77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Слухачами під своїм прізвищем, відповідно на сайті </w:t>
      </w:r>
      <w:r w:rsidRPr="00770B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системи дистанційного навчання (СДН), або на платформі </w:t>
      </w:r>
      <w:r w:rsidRPr="00770B7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70B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770B77" w:rsidRPr="00770B77" w:rsidRDefault="00770B77" w:rsidP="00770B77">
      <w:pPr>
        <w:spacing w:after="0" w:line="240" w:lineRule="auto"/>
        <w:ind w:firstLine="6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B7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Облік та контроль проходження підготовки здійснюється викладачем НШСУ,</w:t>
      </w:r>
      <w:r w:rsidRPr="00770B77">
        <w:rPr>
          <w:rFonts w:ascii="Times New Roman" w:hAnsi="Times New Roman" w:cs="Times New Roman"/>
          <w:sz w:val="28"/>
          <w:szCs w:val="28"/>
          <w:lang w:val="uk-UA"/>
        </w:rPr>
        <w:t xml:space="preserve"> пр</w:t>
      </w:r>
      <w:bookmarkStart w:id="2" w:name="_GoBack"/>
      <w:bookmarkEnd w:id="2"/>
      <w:r w:rsidRPr="00770B77">
        <w:rPr>
          <w:rFonts w:ascii="Times New Roman" w:hAnsi="Times New Roman" w:cs="Times New Roman"/>
          <w:sz w:val="28"/>
          <w:szCs w:val="28"/>
          <w:lang w:val="uk-UA"/>
        </w:rPr>
        <w:t>ацівником структурного підрозділу, який відповідає за підготовку суддів чи працівників апаратів судів:</w:t>
      </w:r>
    </w:p>
    <w:p w:rsidR="00770B77" w:rsidRPr="00770B77" w:rsidRDefault="00770B77" w:rsidP="00770B77">
      <w:pPr>
        <w:spacing w:after="0" w:line="240" w:lineRule="auto"/>
        <w:ind w:firstLine="6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дистанційної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форми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- по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електронному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журналу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оцінок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виконаних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та за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звітом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діяльність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користувача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технічна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фіксація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електронними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засобами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770B77" w:rsidRPr="00770B77" w:rsidRDefault="00770B77" w:rsidP="00770B7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навчальних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в онлайн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режимі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платформі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0B7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70B77">
        <w:rPr>
          <w:rFonts w:ascii="Times New Roman" w:hAnsi="Times New Roman" w:cs="Times New Roman"/>
          <w:sz w:val="28"/>
          <w:szCs w:val="28"/>
        </w:rPr>
        <w:t xml:space="preserve"> - шляхом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візуального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контролю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присутності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Слухачів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мережі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технічною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фіксацією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0B77">
        <w:rPr>
          <w:rFonts w:ascii="Times New Roman" w:eastAsia="Calibri" w:hAnsi="Times New Roman" w:cs="Times New Roman"/>
          <w:sz w:val="28"/>
          <w:szCs w:val="28"/>
        </w:rPr>
        <w:t>присутності</w:t>
      </w:r>
      <w:proofErr w:type="spellEnd"/>
      <w:r w:rsidRPr="00770B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0B77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 Р</w:t>
      </w:r>
      <w:r w:rsidRPr="00F73D32">
        <w:rPr>
          <w:rFonts w:ascii="Times New Roman" w:hAnsi="Times New Roman" w:cs="Times New Roman"/>
          <w:sz w:val="28"/>
          <w:szCs w:val="28"/>
          <w:lang w:val="uk-UA"/>
        </w:rPr>
        <w:t xml:space="preserve">еєстрація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Слухачів</w:t>
      </w:r>
      <w:r w:rsidRPr="00F57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проводиться у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перший день Підготовки. </w:t>
      </w:r>
    </w:p>
    <w:p w:rsidR="00770B77" w:rsidRPr="001163E1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3.4. 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Контроль відвідування занять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Слухачами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щоденно працівником структурного підрозділу, який</w:t>
      </w:r>
      <w:r w:rsidRPr="001163E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відповідає за  підготовку суддів,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апаратів судів. </w:t>
      </w:r>
    </w:p>
    <w:p w:rsidR="00770B77" w:rsidRPr="001163E1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3.5. 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Загальний облік Підготовки здійснюється шляхом внесення відповідної інформації до Реєстру суддів, які пройшли підготовку та періодичне навчання (далі – Реєстр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70B77" w:rsidRPr="001163E1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3.6. 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Інформація про проходження Слухачами</w:t>
      </w:r>
      <w:r w:rsidRPr="001163E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Підготовки вноситься до Реєстру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наступного робочого дня після її закінчення працівником структурного підрозділу,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за підготовку суддів,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апаратів судів. </w:t>
      </w:r>
    </w:p>
    <w:p w:rsidR="00770B77" w:rsidRPr="001163E1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3.7. І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про проходження суддею Підготовки для включення її до суддівського досьє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готується</w:t>
      </w:r>
      <w:r w:rsidRPr="009E5A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41FA">
        <w:rPr>
          <w:rFonts w:ascii="Times New Roman" w:hAnsi="Times New Roman" w:cs="Times New Roman"/>
          <w:sz w:val="28"/>
          <w:szCs w:val="28"/>
          <w:lang w:val="uk-UA"/>
        </w:rPr>
        <w:t>працівником відділу НШСУ, що відповідає за технічну підтримку Реєстру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підготовки, і н</w:t>
      </w:r>
      <w:r w:rsidRPr="00D91E0A">
        <w:rPr>
          <w:rFonts w:ascii="Times New Roman" w:hAnsi="Times New Roman" w:cs="Times New Roman"/>
          <w:sz w:val="28"/>
          <w:szCs w:val="28"/>
          <w:lang w:val="uk-UA"/>
        </w:rPr>
        <w:t>адсила</w:t>
      </w:r>
      <w:r>
        <w:rPr>
          <w:rFonts w:ascii="Times New Roman" w:hAnsi="Times New Roman" w:cs="Times New Roman"/>
          <w:sz w:val="28"/>
          <w:szCs w:val="28"/>
          <w:lang w:val="uk-UA"/>
        </w:rPr>
        <w:t>єтьс</w:t>
      </w:r>
      <w:r w:rsidRPr="00D91E0A">
        <w:rPr>
          <w:rFonts w:ascii="Times New Roman" w:hAnsi="Times New Roman" w:cs="Times New Roman"/>
          <w:sz w:val="28"/>
          <w:szCs w:val="28"/>
          <w:lang w:val="uk-UA"/>
        </w:rPr>
        <w:t>я до ВККСУ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десяти днів з моменту завершення відповідного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 заходу. </w:t>
      </w:r>
    </w:p>
    <w:p w:rsidR="00770B77" w:rsidRPr="001163E1" w:rsidRDefault="00770B77" w:rsidP="00770B7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 xml:space="preserve">На підтвердження проходження Підготовки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Слухач 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отримує Сертифікат НШСУ за процедурою і зразком, що встановлені Положенням про Сертифікат Національної школи суддів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22 до Регламенту НШСУ)</w:t>
      </w:r>
      <w:r w:rsidRPr="001163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B77" w:rsidRPr="001163E1" w:rsidRDefault="00770B77" w:rsidP="00770B77">
      <w:pPr>
        <w:tabs>
          <w:tab w:val="left" w:pos="5103"/>
        </w:tabs>
        <w:spacing w:after="120" w:line="240" w:lineRule="auto"/>
        <w:rPr>
          <w:b/>
          <w:lang w:val="uk-UA"/>
        </w:rPr>
      </w:pPr>
    </w:p>
    <w:p w:rsidR="00770B77" w:rsidRDefault="00770B77" w:rsidP="00770B77">
      <w:pPr>
        <w:pStyle w:val="a3"/>
        <w:tabs>
          <w:tab w:val="left" w:pos="5103"/>
        </w:tabs>
        <w:spacing w:after="120" w:line="240" w:lineRule="auto"/>
        <w:rPr>
          <w:b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A237AF">
        <w:rPr>
          <w:rFonts w:ascii="Times New Roman" w:hAnsi="Times New Roman"/>
          <w:b/>
          <w:sz w:val="20"/>
          <w:szCs w:val="20"/>
          <w:lang w:val="uk-UA"/>
        </w:rPr>
        <w:t>Додаток 1</w:t>
      </w: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37AF">
        <w:rPr>
          <w:rFonts w:ascii="Times New Roman" w:hAnsi="Times New Roman"/>
          <w:b/>
          <w:sz w:val="28"/>
          <w:szCs w:val="28"/>
          <w:lang w:val="uk-UA"/>
        </w:rPr>
        <w:t>Реєстр відвідування занять суддями, які проходять підготовку</w:t>
      </w:r>
    </w:p>
    <w:p w:rsidR="00770B77" w:rsidRPr="00A237AF" w:rsidRDefault="00770B77" w:rsidP="00770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37AF">
        <w:rPr>
          <w:rFonts w:ascii="Times New Roman" w:hAnsi="Times New Roman"/>
          <w:b/>
          <w:sz w:val="28"/>
          <w:szCs w:val="28"/>
          <w:lang w:val="uk-UA"/>
        </w:rPr>
        <w:t xml:space="preserve">суддів (категорія слухачів) </w:t>
      </w:r>
    </w:p>
    <w:p w:rsidR="00770B77" w:rsidRPr="00A237AF" w:rsidRDefault="00770B77" w:rsidP="00770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B77" w:rsidRPr="00A237AF" w:rsidRDefault="00770B77" w:rsidP="00770B77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237AF">
        <w:rPr>
          <w:rFonts w:ascii="Times New Roman" w:hAnsi="Times New Roman"/>
          <w:b/>
          <w:sz w:val="28"/>
          <w:szCs w:val="28"/>
          <w:lang w:val="uk-UA"/>
        </w:rPr>
        <w:t>місце проведення   (м. Київ)      період проведення _____________________</w:t>
      </w:r>
    </w:p>
    <w:p w:rsidR="00770B77" w:rsidRPr="00A237AF" w:rsidRDefault="00770B77" w:rsidP="00770B77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6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2112"/>
        <w:gridCol w:w="3042"/>
        <w:gridCol w:w="1275"/>
        <w:gridCol w:w="1029"/>
        <w:gridCol w:w="1239"/>
        <w:gridCol w:w="1287"/>
      </w:tblGrid>
      <w:tr w:rsidR="00770B77" w:rsidRPr="00A237AF" w:rsidTr="00B3407C">
        <w:trPr>
          <w:trHeight w:val="615"/>
        </w:trPr>
        <w:tc>
          <w:tcPr>
            <w:tcW w:w="659" w:type="dxa"/>
            <w:vMerge w:val="restart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н/п</w:t>
            </w:r>
          </w:p>
        </w:tc>
        <w:tc>
          <w:tcPr>
            <w:tcW w:w="2112" w:type="dxa"/>
            <w:vMerge w:val="restart"/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 по батькові</w:t>
            </w:r>
          </w:p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042" w:type="dxa"/>
            <w:vMerge w:val="restart"/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Посада та суд </w:t>
            </w:r>
          </w:p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830" w:type="dxa"/>
            <w:gridSpan w:val="4"/>
            <w:tcBorders>
              <w:bottom w:val="single" w:sz="4" w:space="0" w:color="auto"/>
            </w:tcBorders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Підпис</w:t>
            </w:r>
          </w:p>
        </w:tc>
      </w:tr>
      <w:tr w:rsidR="00770B77" w:rsidRPr="00A237AF" w:rsidTr="00B3407C">
        <w:trPr>
          <w:trHeight w:val="263"/>
        </w:trPr>
        <w:tc>
          <w:tcPr>
            <w:tcW w:w="659" w:type="dxa"/>
            <w:vMerge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112" w:type="dxa"/>
            <w:vMerge/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042" w:type="dxa"/>
            <w:vMerge/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 пара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 пара </w:t>
            </w:r>
          </w:p>
        </w:tc>
        <w:tc>
          <w:tcPr>
            <w:tcW w:w="12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 пара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4 пара </w:t>
            </w:r>
          </w:p>
        </w:tc>
      </w:tr>
      <w:tr w:rsidR="00770B77" w:rsidRPr="00A237AF" w:rsidTr="00B3407C">
        <w:trPr>
          <w:trHeight w:val="254"/>
        </w:trPr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0B77" w:rsidRPr="00A237AF" w:rsidTr="00B3407C"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0B77" w:rsidRPr="00A237AF" w:rsidTr="00B3407C"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0B77" w:rsidRPr="00A237AF" w:rsidTr="00B3407C"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0B77" w:rsidRPr="00A237AF" w:rsidTr="00B3407C"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0B77" w:rsidRPr="00A237AF" w:rsidTr="00B3407C">
        <w:trPr>
          <w:trHeight w:val="349"/>
        </w:trPr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0B77" w:rsidRPr="00A237AF" w:rsidTr="00B3407C"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0B77" w:rsidRPr="00A237AF" w:rsidTr="00B3407C"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0B77" w:rsidRPr="00A237AF" w:rsidTr="00B3407C"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70B77" w:rsidRPr="00A237AF" w:rsidRDefault="00770B77" w:rsidP="00770B77">
      <w:pPr>
        <w:pStyle w:val="a3"/>
        <w:shd w:val="clear" w:color="auto" w:fill="FFFFFF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70B77" w:rsidRPr="00A237AF" w:rsidRDefault="00770B77" w:rsidP="00770B77">
      <w:pPr>
        <w:pStyle w:val="a3"/>
        <w:shd w:val="clear" w:color="auto" w:fill="FFFFFF"/>
        <w:tabs>
          <w:tab w:val="left" w:pos="0"/>
        </w:tabs>
        <w:ind w:left="0"/>
        <w:rPr>
          <w:rFonts w:ascii="Times New Roman" w:hAnsi="Times New Roman" w:cs="Times New Roman"/>
          <w:color w:val="000000" w:themeColor="text1"/>
          <w:lang w:val="uk-UA"/>
        </w:rPr>
      </w:pPr>
      <w:r w:rsidRPr="00A237AF">
        <w:rPr>
          <w:rFonts w:ascii="Times New Roman" w:hAnsi="Times New Roman" w:cs="Times New Roman"/>
          <w:b/>
          <w:sz w:val="24"/>
          <w:szCs w:val="24"/>
          <w:lang w:val="uk-UA"/>
        </w:rPr>
        <w:t>Відповідальна особа</w:t>
      </w:r>
      <w:r w:rsidRPr="00A237A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237AF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A237A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___________________________</w:t>
      </w:r>
    </w:p>
    <w:p w:rsidR="00770B77" w:rsidRPr="00A237AF" w:rsidRDefault="00770B77" w:rsidP="00770B77">
      <w:pPr>
        <w:shd w:val="clear" w:color="auto" w:fill="FFFFFF"/>
        <w:tabs>
          <w:tab w:val="left" w:pos="0"/>
          <w:tab w:val="left" w:pos="9639"/>
        </w:tabs>
        <w:rPr>
          <w:color w:val="000000" w:themeColor="text1"/>
          <w:lang w:val="uk-UA"/>
        </w:rPr>
      </w:pPr>
    </w:p>
    <w:p w:rsidR="00770B77" w:rsidRPr="00A237AF" w:rsidRDefault="00770B77" w:rsidP="00770B77">
      <w:pPr>
        <w:pStyle w:val="a3"/>
        <w:shd w:val="clear" w:color="auto" w:fill="FFFFFF"/>
        <w:tabs>
          <w:tab w:val="left" w:pos="0"/>
          <w:tab w:val="left" w:pos="9639"/>
        </w:tabs>
        <w:ind w:left="0" w:firstLine="851"/>
        <w:rPr>
          <w:color w:val="000000" w:themeColor="text1"/>
          <w:lang w:val="uk-UA"/>
        </w:rPr>
      </w:pP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A237AF">
        <w:rPr>
          <w:rFonts w:ascii="Times New Roman" w:hAnsi="Times New Roman"/>
          <w:b/>
          <w:sz w:val="20"/>
          <w:szCs w:val="20"/>
          <w:lang w:val="uk-UA"/>
        </w:rPr>
        <w:t xml:space="preserve">Додаток </w:t>
      </w:r>
      <w:r w:rsidRPr="00B3407C">
        <w:rPr>
          <w:rFonts w:ascii="Times New Roman" w:hAnsi="Times New Roman"/>
          <w:b/>
          <w:sz w:val="20"/>
          <w:szCs w:val="20"/>
          <w:lang w:val="uk-UA"/>
        </w:rPr>
        <w:t>2</w:t>
      </w:r>
    </w:p>
    <w:p w:rsidR="00770B77" w:rsidRPr="00A237AF" w:rsidRDefault="00770B77" w:rsidP="00770B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770B77" w:rsidRPr="00A237AF" w:rsidRDefault="00770B77" w:rsidP="00770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37AF">
        <w:rPr>
          <w:rFonts w:ascii="Times New Roman" w:hAnsi="Times New Roman"/>
          <w:b/>
          <w:sz w:val="28"/>
          <w:szCs w:val="28"/>
          <w:lang w:val="uk-UA"/>
        </w:rPr>
        <w:t>Реєстр відвідування занять працівниками апаратів судів (категорія слухачів)</w:t>
      </w:r>
    </w:p>
    <w:p w:rsidR="00770B77" w:rsidRPr="00A237AF" w:rsidRDefault="00770B77" w:rsidP="00770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B77" w:rsidRPr="00A237AF" w:rsidRDefault="00770B77" w:rsidP="00770B77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237AF">
        <w:rPr>
          <w:rFonts w:ascii="Times New Roman" w:hAnsi="Times New Roman"/>
          <w:b/>
          <w:sz w:val="28"/>
          <w:szCs w:val="28"/>
          <w:lang w:val="uk-UA"/>
        </w:rPr>
        <w:t>місце проведення   (м. Київ)      період проведення _____________________</w:t>
      </w:r>
    </w:p>
    <w:p w:rsidR="00770B77" w:rsidRPr="00A237AF" w:rsidRDefault="00770B77" w:rsidP="00770B77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6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2056"/>
        <w:gridCol w:w="2881"/>
        <w:gridCol w:w="1273"/>
        <w:gridCol w:w="1247"/>
        <w:gridCol w:w="1247"/>
        <w:gridCol w:w="1284"/>
      </w:tblGrid>
      <w:tr w:rsidR="00770B77" w:rsidRPr="00A237AF" w:rsidTr="00B3407C">
        <w:trPr>
          <w:trHeight w:val="615"/>
        </w:trPr>
        <w:tc>
          <w:tcPr>
            <w:tcW w:w="659" w:type="dxa"/>
            <w:vMerge w:val="restart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н/п</w:t>
            </w:r>
          </w:p>
        </w:tc>
        <w:tc>
          <w:tcPr>
            <w:tcW w:w="2112" w:type="dxa"/>
            <w:vMerge w:val="restart"/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 по батькові</w:t>
            </w:r>
          </w:p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042" w:type="dxa"/>
            <w:vMerge w:val="restart"/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Місце роботи, посада</w:t>
            </w:r>
          </w:p>
        </w:tc>
        <w:tc>
          <w:tcPr>
            <w:tcW w:w="4830" w:type="dxa"/>
            <w:gridSpan w:val="4"/>
            <w:tcBorders>
              <w:bottom w:val="single" w:sz="4" w:space="0" w:color="auto"/>
            </w:tcBorders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Підпис</w:t>
            </w:r>
          </w:p>
        </w:tc>
      </w:tr>
      <w:tr w:rsidR="00770B77" w:rsidRPr="00A237AF" w:rsidTr="00B3407C">
        <w:trPr>
          <w:trHeight w:val="263"/>
        </w:trPr>
        <w:tc>
          <w:tcPr>
            <w:tcW w:w="659" w:type="dxa"/>
            <w:vMerge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112" w:type="dxa"/>
            <w:vMerge/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042" w:type="dxa"/>
            <w:vMerge/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Дата/час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Дата/час</w:t>
            </w:r>
          </w:p>
        </w:tc>
        <w:tc>
          <w:tcPr>
            <w:tcW w:w="12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Дата/час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B77" w:rsidRPr="00A237AF" w:rsidRDefault="00770B77" w:rsidP="00B34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237A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Дата/час</w:t>
            </w:r>
          </w:p>
        </w:tc>
      </w:tr>
      <w:tr w:rsidR="00770B77" w:rsidRPr="00A237AF" w:rsidTr="00B3407C"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0B77" w:rsidRPr="00A237AF" w:rsidTr="00B3407C"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0B77" w:rsidRPr="00A237AF" w:rsidTr="00B3407C"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0B77" w:rsidRPr="00A237AF" w:rsidTr="00B3407C"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0B77" w:rsidRPr="00A237AF" w:rsidTr="00B3407C"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0B77" w:rsidRPr="00A237AF" w:rsidTr="00B3407C">
        <w:trPr>
          <w:trHeight w:val="349"/>
        </w:trPr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0B77" w:rsidRPr="00A237AF" w:rsidTr="00B3407C">
        <w:tc>
          <w:tcPr>
            <w:tcW w:w="659" w:type="dxa"/>
            <w:vAlign w:val="center"/>
          </w:tcPr>
          <w:p w:rsidR="00770B77" w:rsidRPr="00A237AF" w:rsidRDefault="00770B77" w:rsidP="00B3407C">
            <w:pPr>
              <w:spacing w:after="0" w:line="240" w:lineRule="auto"/>
              <w:ind w:left="34" w:right="-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2" w:type="dxa"/>
          </w:tcPr>
          <w:p w:rsidR="00770B77" w:rsidRPr="00A237AF" w:rsidRDefault="00770B77" w:rsidP="00B3407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042" w:type="dxa"/>
          </w:tcPr>
          <w:p w:rsidR="00770B77" w:rsidRPr="00A237AF" w:rsidRDefault="00770B77" w:rsidP="00B340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770B77" w:rsidRPr="00A237AF" w:rsidRDefault="00770B77" w:rsidP="00B34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70B77" w:rsidRPr="00A237AF" w:rsidRDefault="00770B77" w:rsidP="00770B77">
      <w:pPr>
        <w:pStyle w:val="a3"/>
        <w:shd w:val="clear" w:color="auto" w:fill="FFFFFF"/>
        <w:tabs>
          <w:tab w:val="left" w:pos="0"/>
        </w:tabs>
        <w:ind w:left="0"/>
        <w:rPr>
          <w:sz w:val="24"/>
          <w:szCs w:val="24"/>
          <w:lang w:val="uk-UA"/>
        </w:rPr>
      </w:pPr>
    </w:p>
    <w:p w:rsidR="00770B77" w:rsidRPr="00A237AF" w:rsidRDefault="00770B77" w:rsidP="00770B77">
      <w:pPr>
        <w:pStyle w:val="a3"/>
        <w:shd w:val="clear" w:color="auto" w:fill="FFFFFF"/>
        <w:tabs>
          <w:tab w:val="left" w:pos="0"/>
        </w:tabs>
        <w:ind w:left="0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A237AF">
        <w:rPr>
          <w:rFonts w:ascii="Times New Roman" w:hAnsi="Times New Roman" w:cs="Times New Roman"/>
          <w:b/>
          <w:sz w:val="24"/>
          <w:szCs w:val="24"/>
          <w:lang w:val="uk-UA"/>
        </w:rPr>
        <w:t>Відповідальна особа      _____________________</w:t>
      </w:r>
      <w:r w:rsidRPr="00A237AF">
        <w:rPr>
          <w:rFonts w:ascii="Times New Roman" w:hAnsi="Times New Roman" w:cs="Times New Roman"/>
          <w:b/>
          <w:sz w:val="24"/>
          <w:szCs w:val="24"/>
          <w:lang w:val="uk-UA"/>
        </w:rPr>
        <w:tab/>
        <w:t>___________________________</w:t>
      </w:r>
    </w:p>
    <w:p w:rsidR="00770B77" w:rsidRPr="00A237AF" w:rsidRDefault="00770B77" w:rsidP="00770B77">
      <w:pPr>
        <w:pStyle w:val="a3"/>
        <w:shd w:val="clear" w:color="auto" w:fill="FFFFFF"/>
        <w:tabs>
          <w:tab w:val="left" w:pos="0"/>
        </w:tabs>
        <w:ind w:left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770B77" w:rsidRDefault="00770B77"/>
    <w:sectPr w:rsidR="00770B77" w:rsidSect="002C380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46"/>
    <w:rsid w:val="00267A46"/>
    <w:rsid w:val="00770B77"/>
    <w:rsid w:val="0086025B"/>
    <w:rsid w:val="00D1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ED17"/>
  <w15:chartTrackingRefBased/>
  <w15:docId w15:val="{249A7B43-5FC5-4C16-9B33-D263233E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77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70B7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0B77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List Paragraph"/>
    <w:basedOn w:val="a"/>
    <w:uiPriority w:val="99"/>
    <w:qFormat/>
    <w:rsid w:val="00770B7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70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B7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 Spacing"/>
    <w:uiPriority w:val="1"/>
    <w:qFormat/>
    <w:rsid w:val="00770B7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Найда Ілля</dc:creator>
  <cp:keywords/>
  <dc:description/>
  <cp:lastModifiedBy>Найда Ілля</cp:lastModifiedBy>
  <cp:revision>2</cp:revision>
  <dcterms:created xsi:type="dcterms:W3CDTF">2021-03-04T13:01:00Z</dcterms:created>
  <dcterms:modified xsi:type="dcterms:W3CDTF">2021-03-04T13:01:00Z</dcterms:modified>
</cp:coreProperties>
</file>