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AE" w:rsidRDefault="005F5EAE" w:rsidP="005F5EAE">
      <w:pPr>
        <w:pStyle w:val="11"/>
        <w:keepNext/>
        <w:keepLines/>
        <w:shd w:val="clear" w:color="auto" w:fill="auto"/>
        <w:spacing w:after="120"/>
        <w:ind w:left="5387" w:right="686"/>
        <w:jc w:val="right"/>
      </w:pPr>
      <w:r>
        <w:t>Додаток 81</w:t>
      </w:r>
    </w:p>
    <w:p w:rsidR="005F5EAE" w:rsidRPr="00C35509" w:rsidRDefault="005F5EAE" w:rsidP="005F5EAE">
      <w:pPr>
        <w:pStyle w:val="11"/>
        <w:keepNext/>
        <w:keepLines/>
        <w:shd w:val="clear" w:color="auto" w:fill="auto"/>
        <w:spacing w:after="120"/>
        <w:jc w:val="left"/>
      </w:pPr>
    </w:p>
    <w:p w:rsidR="005F5EAE" w:rsidRPr="00C35509" w:rsidRDefault="005F5EAE" w:rsidP="005F5EAE">
      <w:pPr>
        <w:pStyle w:val="11"/>
        <w:keepNext/>
        <w:keepLines/>
        <w:shd w:val="clear" w:color="auto" w:fill="auto"/>
        <w:spacing w:after="120"/>
      </w:pPr>
      <w:r w:rsidRPr="00C35509">
        <w:t>ПОРЯДОК</w:t>
      </w:r>
    </w:p>
    <w:p w:rsidR="005F5EAE" w:rsidRPr="00C35509" w:rsidRDefault="005F5EAE" w:rsidP="005F5EAE">
      <w:pPr>
        <w:pStyle w:val="11"/>
        <w:keepNext/>
        <w:keepLines/>
        <w:shd w:val="clear" w:color="auto" w:fill="auto"/>
        <w:spacing w:after="0"/>
      </w:pPr>
      <w:r w:rsidRPr="00C35509">
        <w:t>залучення, використання та моніторингу міжнародної</w:t>
      </w:r>
    </w:p>
    <w:p w:rsidR="005F5EAE" w:rsidRPr="00C35509" w:rsidRDefault="005F5EAE" w:rsidP="005F5EAE">
      <w:pPr>
        <w:pStyle w:val="11"/>
        <w:keepNext/>
        <w:keepLines/>
        <w:shd w:val="clear" w:color="auto" w:fill="auto"/>
        <w:spacing w:after="120"/>
      </w:pPr>
      <w:r w:rsidRPr="00C35509">
        <w:t>технічної допомоги</w:t>
      </w:r>
    </w:p>
    <w:p w:rsidR="005F5EAE" w:rsidRPr="00C35509" w:rsidRDefault="005F5EAE" w:rsidP="005F5EAE">
      <w:pPr>
        <w:pStyle w:val="11"/>
        <w:keepNext/>
        <w:keepLines/>
        <w:shd w:val="clear" w:color="auto" w:fill="auto"/>
        <w:spacing w:after="120"/>
      </w:pPr>
      <w:r>
        <w:t xml:space="preserve">1. </w:t>
      </w:r>
      <w:r w:rsidRPr="00C35509">
        <w:t>Загальні положення</w:t>
      </w:r>
    </w:p>
    <w:p w:rsidR="005F5EAE" w:rsidRPr="00C35509" w:rsidRDefault="005F5EAE" w:rsidP="005F5EAE">
      <w:pPr>
        <w:pStyle w:val="1"/>
        <w:shd w:val="clear" w:color="auto" w:fill="auto"/>
        <w:tabs>
          <w:tab w:val="left" w:pos="750"/>
        </w:tabs>
        <w:spacing w:after="120" w:line="26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35509">
        <w:rPr>
          <w:sz w:val="28"/>
          <w:szCs w:val="28"/>
        </w:rPr>
        <w:t xml:space="preserve">Цей Порядок визначає процедуру залучення, використання та моніторингу міжнародної технічної допомоги, моніторингу </w:t>
      </w:r>
      <w:r>
        <w:rPr>
          <w:sz w:val="28"/>
          <w:szCs w:val="28"/>
        </w:rPr>
        <w:t>відповідних проє</w:t>
      </w:r>
      <w:r w:rsidRPr="00C35509">
        <w:rPr>
          <w:sz w:val="28"/>
          <w:szCs w:val="28"/>
        </w:rPr>
        <w:t>ктів (програм</w:t>
      </w:r>
      <w:r>
        <w:rPr>
          <w:sz w:val="28"/>
          <w:szCs w:val="28"/>
        </w:rPr>
        <w:t>) у Національній школі суддів України.</w:t>
      </w:r>
    </w:p>
    <w:p w:rsidR="005F5EAE" w:rsidRPr="00C35509" w:rsidRDefault="005F5EAE" w:rsidP="005F5EAE">
      <w:pPr>
        <w:pStyle w:val="1"/>
        <w:shd w:val="clear" w:color="auto" w:fill="auto"/>
        <w:tabs>
          <w:tab w:val="left" w:pos="778"/>
        </w:tabs>
        <w:spacing w:after="120" w:line="257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35509">
        <w:rPr>
          <w:sz w:val="28"/>
          <w:szCs w:val="28"/>
        </w:rPr>
        <w:t>Поняття, що вживаються у цьому Порядку, мають таке значення:</w:t>
      </w:r>
    </w:p>
    <w:p w:rsidR="005F5EAE" w:rsidRPr="0051452B" w:rsidRDefault="005F5EAE" w:rsidP="005F5EAE">
      <w:pPr>
        <w:pStyle w:val="1"/>
        <w:shd w:val="clear" w:color="auto" w:fill="auto"/>
        <w:spacing w:after="120"/>
        <w:ind w:firstLine="709"/>
        <w:rPr>
          <w:sz w:val="28"/>
          <w:szCs w:val="28"/>
        </w:rPr>
      </w:pPr>
      <w:r w:rsidRPr="0051452B">
        <w:rPr>
          <w:bCs/>
          <w:sz w:val="28"/>
          <w:szCs w:val="28"/>
        </w:rPr>
        <w:t>бенефіціар - центральний орган виконавчої влади, Рада міністрів Автономної Республіки Крим, обласна, Київська, Севастопольська міська держадміністрація, до компетенції яких належить формування та/або реалізація державної політики у відповідній галузі чи регіоні, де передбачається впровадження про</w:t>
      </w:r>
      <w:r>
        <w:rPr>
          <w:bCs/>
          <w:sz w:val="28"/>
          <w:szCs w:val="28"/>
        </w:rPr>
        <w:t>є</w:t>
      </w:r>
      <w:r w:rsidRPr="0051452B">
        <w:rPr>
          <w:bCs/>
          <w:sz w:val="28"/>
          <w:szCs w:val="28"/>
        </w:rPr>
        <w:t>кту (програми), що заінтересована в результатах виконання про</w:t>
      </w:r>
      <w:r w:rsidRPr="007A3D99">
        <w:rPr>
          <w:bCs/>
          <w:strike/>
          <w:sz w:val="28"/>
          <w:szCs w:val="28"/>
        </w:rPr>
        <w:t>є</w:t>
      </w:r>
      <w:r w:rsidRPr="0051452B">
        <w:rPr>
          <w:bCs/>
          <w:sz w:val="28"/>
          <w:szCs w:val="28"/>
        </w:rPr>
        <w:t>кту (програми), виконавчий орган місцевого самоврядування, юрисдикція якого поширюється на територію реалізації про</w:t>
      </w:r>
      <w:r>
        <w:rPr>
          <w:bCs/>
          <w:sz w:val="28"/>
          <w:szCs w:val="28"/>
        </w:rPr>
        <w:t>є</w:t>
      </w:r>
      <w:r w:rsidRPr="0051452B">
        <w:rPr>
          <w:bCs/>
          <w:sz w:val="28"/>
          <w:szCs w:val="28"/>
        </w:rPr>
        <w:t>кту (програми), Секретаріат Кабінету Міністрів України, Офіс Президента України, комітети та Апарат Верховної Ради України, Національний банк, Верховний Суд, вищі спеціалізовані суди, Національне антикорупційне бюро, Рахункова палата, інші державні органи;</w:t>
      </w:r>
    </w:p>
    <w:p w:rsidR="005F5EAE" w:rsidRPr="0051452B" w:rsidRDefault="005F5EAE" w:rsidP="005F5EAE">
      <w:pPr>
        <w:pStyle w:val="1"/>
        <w:shd w:val="clear" w:color="auto" w:fill="auto"/>
        <w:spacing w:after="120" w:line="254" w:lineRule="auto"/>
        <w:ind w:firstLine="709"/>
        <w:rPr>
          <w:sz w:val="28"/>
          <w:szCs w:val="28"/>
        </w:rPr>
      </w:pPr>
      <w:r w:rsidRPr="0051452B">
        <w:rPr>
          <w:bCs/>
          <w:sz w:val="28"/>
          <w:szCs w:val="28"/>
        </w:rPr>
        <w:t>реципієнт - резидент (фізична або юридична особа), який безпосередньо одержує міжнародну технічну допомогу згідно з про</w:t>
      </w:r>
      <w:r>
        <w:rPr>
          <w:bCs/>
          <w:sz w:val="28"/>
          <w:szCs w:val="28"/>
        </w:rPr>
        <w:t>є</w:t>
      </w:r>
      <w:r w:rsidRPr="0051452B">
        <w:rPr>
          <w:bCs/>
          <w:sz w:val="28"/>
          <w:szCs w:val="28"/>
        </w:rPr>
        <w:t>ктом (програмою), надалі – Національна школа суддів України;</w:t>
      </w:r>
    </w:p>
    <w:p w:rsidR="005F5EAE" w:rsidRPr="0051452B" w:rsidRDefault="005F5EAE" w:rsidP="005F5EAE">
      <w:pPr>
        <w:pStyle w:val="1"/>
        <w:shd w:val="clear" w:color="auto" w:fill="auto"/>
        <w:spacing w:after="120" w:line="257" w:lineRule="auto"/>
        <w:ind w:firstLine="709"/>
        <w:rPr>
          <w:bCs/>
          <w:sz w:val="28"/>
          <w:szCs w:val="28"/>
        </w:rPr>
      </w:pPr>
      <w:r w:rsidRPr="0051452B">
        <w:rPr>
          <w:bCs/>
          <w:sz w:val="28"/>
          <w:szCs w:val="28"/>
        </w:rPr>
        <w:t xml:space="preserve">відповідальна особа - фізична особа, яка призначена з числа працівників відділу міжнародного співробітництва Національної школи суддів України (реципієнт) для організації робіт, пов'язаних </w:t>
      </w:r>
      <w:r w:rsidRPr="007A3D99">
        <w:rPr>
          <w:bCs/>
          <w:color w:val="FF0000"/>
          <w:sz w:val="28"/>
          <w:szCs w:val="28"/>
        </w:rPr>
        <w:t>і</w:t>
      </w:r>
      <w:r w:rsidRPr="0051452B">
        <w:rPr>
          <w:bCs/>
          <w:sz w:val="28"/>
          <w:szCs w:val="28"/>
        </w:rPr>
        <w:t>з реалізацією про</w:t>
      </w:r>
      <w:r>
        <w:rPr>
          <w:bCs/>
          <w:sz w:val="28"/>
          <w:szCs w:val="28"/>
        </w:rPr>
        <w:t>є</w:t>
      </w:r>
      <w:r w:rsidRPr="0051452B">
        <w:rPr>
          <w:bCs/>
          <w:sz w:val="28"/>
          <w:szCs w:val="28"/>
        </w:rPr>
        <w:t>кту (програми), та яка безпосередньо готує звіти для подання Секретаріатові Кабінету Міністрів України;</w:t>
      </w:r>
    </w:p>
    <w:p w:rsidR="005F5EAE" w:rsidRPr="0051452B" w:rsidRDefault="005F5EAE" w:rsidP="005F5EAE">
      <w:pPr>
        <w:pStyle w:val="1"/>
        <w:shd w:val="clear" w:color="auto" w:fill="auto"/>
        <w:spacing w:after="120" w:line="252" w:lineRule="auto"/>
        <w:ind w:firstLine="709"/>
        <w:rPr>
          <w:sz w:val="28"/>
          <w:szCs w:val="28"/>
        </w:rPr>
      </w:pPr>
      <w:r w:rsidRPr="0051452B">
        <w:rPr>
          <w:sz w:val="28"/>
          <w:szCs w:val="28"/>
        </w:rPr>
        <w:t>моніторинг про</w:t>
      </w:r>
      <w:r>
        <w:rPr>
          <w:sz w:val="28"/>
          <w:szCs w:val="28"/>
        </w:rPr>
        <w:t>є</w:t>
      </w:r>
      <w:r w:rsidRPr="0051452B">
        <w:rPr>
          <w:sz w:val="28"/>
          <w:szCs w:val="28"/>
        </w:rPr>
        <w:t>ктів (програм) - система спостереження за станом реалізації про</w:t>
      </w:r>
      <w:r>
        <w:rPr>
          <w:sz w:val="28"/>
          <w:szCs w:val="28"/>
        </w:rPr>
        <w:t>є</w:t>
      </w:r>
      <w:r w:rsidRPr="0051452B">
        <w:rPr>
          <w:sz w:val="28"/>
          <w:szCs w:val="28"/>
        </w:rPr>
        <w:t>кту (програми);</w:t>
      </w:r>
    </w:p>
    <w:p w:rsidR="005F5EAE" w:rsidRPr="0051452B" w:rsidRDefault="005F5EAE" w:rsidP="005F5EAE">
      <w:pPr>
        <w:pStyle w:val="1"/>
        <w:shd w:val="clear" w:color="auto" w:fill="auto"/>
        <w:spacing w:after="120"/>
        <w:ind w:firstLine="709"/>
        <w:rPr>
          <w:sz w:val="28"/>
          <w:szCs w:val="28"/>
        </w:rPr>
      </w:pPr>
      <w:r w:rsidRPr="0051452B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51452B">
        <w:rPr>
          <w:sz w:val="28"/>
          <w:szCs w:val="28"/>
        </w:rPr>
        <w:t>кт - документ, яким визначаються спільні дії учасників про</w:t>
      </w:r>
      <w:r>
        <w:rPr>
          <w:sz w:val="28"/>
          <w:szCs w:val="28"/>
        </w:rPr>
        <w:t>є</w:t>
      </w:r>
      <w:r w:rsidRPr="0051452B">
        <w:rPr>
          <w:sz w:val="28"/>
          <w:szCs w:val="28"/>
        </w:rPr>
        <w:t xml:space="preserve">кту (партнерів з розвитку, виконавців, бенефіціарів, реципієнтів), а також ресурси, необхідні для досягнення цілей надання міжнародної технічної допомоги, </w:t>
      </w:r>
      <w:r>
        <w:rPr>
          <w:sz w:val="28"/>
          <w:szCs w:val="28"/>
        </w:rPr>
        <w:t xml:space="preserve">зокрема </w:t>
      </w:r>
      <w:r w:rsidRPr="0051452B">
        <w:rPr>
          <w:sz w:val="28"/>
          <w:szCs w:val="28"/>
        </w:rPr>
        <w:t>співфінансування з інших джерел</w:t>
      </w:r>
      <w:bookmarkStart w:id="0" w:name="bookmark2"/>
      <w:r>
        <w:rPr>
          <w:sz w:val="28"/>
          <w:szCs w:val="28"/>
        </w:rPr>
        <w:t>, протягом установлених строків.</w:t>
      </w:r>
    </w:p>
    <w:p w:rsidR="005F5EAE" w:rsidRPr="0051452B" w:rsidRDefault="005F5EAE" w:rsidP="005F5EAE">
      <w:pPr>
        <w:pStyle w:val="11"/>
        <w:keepNext/>
        <w:keepLines/>
        <w:shd w:val="clear" w:color="auto" w:fill="auto"/>
        <w:spacing w:after="120"/>
        <w:ind w:firstLine="709"/>
      </w:pPr>
      <w:r w:rsidRPr="0051452B">
        <w:t>2. Моніторинг про</w:t>
      </w:r>
      <w:r>
        <w:t>є</w:t>
      </w:r>
      <w:r w:rsidRPr="0051452B">
        <w:t>ктів (програм)</w:t>
      </w:r>
      <w:bookmarkEnd w:id="0"/>
    </w:p>
    <w:p w:rsidR="005F5EAE" w:rsidRPr="0051452B" w:rsidRDefault="005F5EAE" w:rsidP="005F5EAE">
      <w:pPr>
        <w:pStyle w:val="1"/>
        <w:shd w:val="clear" w:color="auto" w:fill="auto"/>
        <w:tabs>
          <w:tab w:val="left" w:pos="898"/>
        </w:tabs>
        <w:spacing w:after="120"/>
        <w:ind w:firstLine="709"/>
        <w:rPr>
          <w:sz w:val="28"/>
          <w:szCs w:val="28"/>
        </w:rPr>
      </w:pPr>
      <w:r w:rsidRPr="0051452B">
        <w:rPr>
          <w:bCs/>
          <w:sz w:val="28"/>
          <w:szCs w:val="28"/>
        </w:rPr>
        <w:t>Для забезпечення поточного моніторингу Національна школа суддів України подає бенефіціарові:</w:t>
      </w:r>
    </w:p>
    <w:p w:rsidR="005F5EAE" w:rsidRPr="0051452B" w:rsidRDefault="005F5EAE" w:rsidP="005F5EAE">
      <w:pPr>
        <w:pStyle w:val="1"/>
        <w:shd w:val="clear" w:color="auto" w:fill="auto"/>
        <w:spacing w:after="120" w:line="259" w:lineRule="auto"/>
        <w:ind w:firstLine="709"/>
        <w:rPr>
          <w:sz w:val="28"/>
          <w:szCs w:val="28"/>
        </w:rPr>
      </w:pPr>
      <w:r w:rsidRPr="0051452B">
        <w:rPr>
          <w:bCs/>
          <w:sz w:val="28"/>
          <w:szCs w:val="28"/>
        </w:rPr>
        <w:t>до 10 липня звітного року резуль</w:t>
      </w:r>
      <w:r>
        <w:rPr>
          <w:bCs/>
          <w:sz w:val="28"/>
          <w:szCs w:val="28"/>
        </w:rPr>
        <w:t>тати піврічного моніторингу проє</w:t>
      </w:r>
      <w:r w:rsidRPr="0051452B">
        <w:rPr>
          <w:bCs/>
          <w:sz w:val="28"/>
          <w:szCs w:val="28"/>
        </w:rPr>
        <w:t xml:space="preserve">кту </w:t>
      </w:r>
      <w:r w:rsidRPr="0051452B">
        <w:rPr>
          <w:bCs/>
          <w:sz w:val="28"/>
          <w:szCs w:val="28"/>
        </w:rPr>
        <w:lastRenderedPageBreak/>
        <w:t>(програми) та до 10 січня року, що настає за звітним, результати річного моніторингу про</w:t>
      </w:r>
      <w:r>
        <w:rPr>
          <w:bCs/>
          <w:sz w:val="28"/>
          <w:szCs w:val="28"/>
        </w:rPr>
        <w:t>є</w:t>
      </w:r>
      <w:r w:rsidRPr="0051452B">
        <w:rPr>
          <w:bCs/>
          <w:sz w:val="28"/>
          <w:szCs w:val="28"/>
        </w:rPr>
        <w:t xml:space="preserve">кту (програми), </w:t>
      </w:r>
      <w:r>
        <w:rPr>
          <w:bCs/>
          <w:sz w:val="28"/>
          <w:szCs w:val="28"/>
        </w:rPr>
        <w:t xml:space="preserve">що </w:t>
      </w:r>
      <w:r w:rsidRPr="0051452B">
        <w:rPr>
          <w:bCs/>
          <w:sz w:val="28"/>
          <w:szCs w:val="28"/>
        </w:rPr>
        <w:t xml:space="preserve">складені за формою згідно з </w:t>
      </w:r>
      <w:r w:rsidRPr="005615AD">
        <w:rPr>
          <w:bCs/>
          <w:sz w:val="28"/>
          <w:szCs w:val="28"/>
        </w:rPr>
        <w:t>додатком</w:t>
      </w:r>
      <w:r w:rsidRPr="0051452B">
        <w:rPr>
          <w:bCs/>
          <w:sz w:val="28"/>
          <w:szCs w:val="28"/>
        </w:rPr>
        <w:t xml:space="preserve"> до цього Порядку, завізовані відповідальною особою та підписані керівником Національної школи суддів України;</w:t>
      </w:r>
    </w:p>
    <w:p w:rsidR="005F5EAE" w:rsidRPr="0051452B" w:rsidRDefault="005F5EAE" w:rsidP="005F5EAE">
      <w:pPr>
        <w:pStyle w:val="1"/>
        <w:shd w:val="clear" w:color="auto" w:fill="auto"/>
        <w:spacing w:after="120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Національна школа суддів України</w:t>
      </w:r>
      <w:r w:rsidRPr="0051452B">
        <w:rPr>
          <w:bCs/>
          <w:sz w:val="28"/>
          <w:szCs w:val="28"/>
        </w:rPr>
        <w:t xml:space="preserve"> розміщу</w:t>
      </w:r>
      <w:r>
        <w:rPr>
          <w:bCs/>
          <w:sz w:val="28"/>
          <w:szCs w:val="28"/>
        </w:rPr>
        <w:t>є</w:t>
      </w:r>
      <w:r w:rsidRPr="0051452B">
        <w:rPr>
          <w:bCs/>
          <w:sz w:val="28"/>
          <w:szCs w:val="28"/>
        </w:rPr>
        <w:t xml:space="preserve"> на власному ве</w:t>
      </w:r>
      <w:r w:rsidRPr="00191FC6">
        <w:rPr>
          <w:bCs/>
          <w:sz w:val="28"/>
          <w:szCs w:val="28"/>
        </w:rPr>
        <w:t>бс</w:t>
      </w:r>
      <w:r w:rsidRPr="0051452B">
        <w:rPr>
          <w:bCs/>
          <w:sz w:val="28"/>
          <w:szCs w:val="28"/>
        </w:rPr>
        <w:t>айті результати річного моніторингу про</w:t>
      </w:r>
      <w:r>
        <w:rPr>
          <w:bCs/>
          <w:sz w:val="28"/>
          <w:szCs w:val="28"/>
        </w:rPr>
        <w:t>є</w:t>
      </w:r>
      <w:r w:rsidRPr="0051452B">
        <w:rPr>
          <w:bCs/>
          <w:sz w:val="28"/>
          <w:szCs w:val="28"/>
        </w:rPr>
        <w:t xml:space="preserve">кту (програми) та інші матеріали або документи, </w:t>
      </w:r>
      <w:r>
        <w:rPr>
          <w:bCs/>
          <w:sz w:val="28"/>
          <w:szCs w:val="28"/>
        </w:rPr>
        <w:t xml:space="preserve">які </w:t>
      </w:r>
      <w:r w:rsidRPr="0051452B">
        <w:rPr>
          <w:bCs/>
          <w:sz w:val="28"/>
          <w:szCs w:val="28"/>
        </w:rPr>
        <w:t>розроблені в рамках про</w:t>
      </w:r>
      <w:r>
        <w:rPr>
          <w:bCs/>
          <w:sz w:val="28"/>
          <w:szCs w:val="28"/>
        </w:rPr>
        <w:t>є</w:t>
      </w:r>
      <w:r w:rsidRPr="0051452B">
        <w:rPr>
          <w:bCs/>
          <w:sz w:val="28"/>
          <w:szCs w:val="28"/>
        </w:rPr>
        <w:t>кту (програми).</w:t>
      </w:r>
    </w:p>
    <w:p w:rsidR="005F5EAE" w:rsidRPr="0051452B" w:rsidRDefault="005F5EAE" w:rsidP="005F5EAE">
      <w:pPr>
        <w:pStyle w:val="11"/>
        <w:keepNext/>
        <w:keepLines/>
        <w:shd w:val="clear" w:color="auto" w:fill="auto"/>
        <w:spacing w:after="120"/>
        <w:ind w:firstLine="709"/>
      </w:pPr>
      <w:bookmarkStart w:id="1" w:name="bookmark3"/>
      <w:r w:rsidRPr="0051452B">
        <w:t>3. Використання міжнародної технічної допомоги</w:t>
      </w:r>
      <w:bookmarkEnd w:id="1"/>
    </w:p>
    <w:p w:rsidR="005F5EAE" w:rsidRPr="0051452B" w:rsidRDefault="005F5EAE" w:rsidP="005F5EAE">
      <w:pPr>
        <w:pStyle w:val="1"/>
        <w:shd w:val="clear" w:color="auto" w:fill="auto"/>
        <w:tabs>
          <w:tab w:val="left" w:pos="930"/>
        </w:tabs>
        <w:spacing w:after="120" w:line="254" w:lineRule="auto"/>
        <w:ind w:firstLine="709"/>
        <w:rPr>
          <w:sz w:val="28"/>
          <w:szCs w:val="28"/>
        </w:rPr>
      </w:pPr>
      <w:r w:rsidRPr="0051452B">
        <w:rPr>
          <w:sz w:val="28"/>
          <w:szCs w:val="28"/>
        </w:rPr>
        <w:t>3.1. Національна школа суддів України забезпечує цільове використання міжнародної технічної допомоги під час реалізації про</w:t>
      </w:r>
      <w:r>
        <w:rPr>
          <w:sz w:val="28"/>
          <w:szCs w:val="28"/>
        </w:rPr>
        <w:t>є</w:t>
      </w:r>
      <w:r w:rsidRPr="0051452B">
        <w:rPr>
          <w:sz w:val="28"/>
          <w:szCs w:val="28"/>
        </w:rPr>
        <w:t>ктів (програм).</w:t>
      </w:r>
    </w:p>
    <w:p w:rsidR="005F5EAE" w:rsidRPr="0051452B" w:rsidRDefault="005F5EAE" w:rsidP="005F5EAE">
      <w:pPr>
        <w:pStyle w:val="1"/>
        <w:shd w:val="clear" w:color="auto" w:fill="auto"/>
        <w:tabs>
          <w:tab w:val="left" w:pos="934"/>
        </w:tabs>
        <w:spacing w:after="120" w:line="254" w:lineRule="auto"/>
        <w:ind w:firstLine="709"/>
        <w:rPr>
          <w:sz w:val="28"/>
          <w:szCs w:val="28"/>
        </w:rPr>
      </w:pPr>
      <w:r w:rsidRPr="0051452B">
        <w:rPr>
          <w:bCs/>
          <w:sz w:val="28"/>
          <w:szCs w:val="28"/>
        </w:rPr>
        <w:t xml:space="preserve">3.2. </w:t>
      </w:r>
      <w:r w:rsidRPr="0051452B">
        <w:rPr>
          <w:sz w:val="28"/>
          <w:szCs w:val="28"/>
        </w:rPr>
        <w:t xml:space="preserve">Національна школа суддів України </w:t>
      </w:r>
      <w:r w:rsidRPr="0051452B">
        <w:rPr>
          <w:bCs/>
          <w:sz w:val="28"/>
          <w:szCs w:val="28"/>
        </w:rPr>
        <w:t>забезпечує зарахування на баланс матеріальних цінностей, що надійшли в рамках про</w:t>
      </w:r>
      <w:r>
        <w:rPr>
          <w:bCs/>
          <w:sz w:val="28"/>
          <w:szCs w:val="28"/>
        </w:rPr>
        <w:t>є</w:t>
      </w:r>
      <w:r w:rsidRPr="0051452B">
        <w:rPr>
          <w:bCs/>
          <w:sz w:val="28"/>
          <w:szCs w:val="28"/>
        </w:rPr>
        <w:t>ктів (програм), протягом 10 календарних днів.</w:t>
      </w:r>
    </w:p>
    <w:p w:rsidR="005F5EAE" w:rsidRPr="00E92702" w:rsidRDefault="005F5EAE" w:rsidP="005F5EAE">
      <w:pPr>
        <w:pStyle w:val="1"/>
        <w:shd w:val="clear" w:color="auto" w:fill="auto"/>
        <w:spacing w:after="120" w:line="254" w:lineRule="auto"/>
        <w:ind w:firstLine="709"/>
        <w:rPr>
          <w:sz w:val="28"/>
          <w:szCs w:val="28"/>
        </w:rPr>
      </w:pPr>
      <w:r w:rsidRPr="0051452B">
        <w:rPr>
          <w:sz w:val="28"/>
          <w:szCs w:val="28"/>
        </w:rPr>
        <w:t xml:space="preserve">Національна школа суддів України </w:t>
      </w:r>
      <w:r w:rsidRPr="0051452B">
        <w:rPr>
          <w:bCs/>
          <w:sz w:val="28"/>
          <w:szCs w:val="28"/>
        </w:rPr>
        <w:t>забезпечує оприлюднення на власному ве</w:t>
      </w:r>
      <w:r w:rsidRPr="0054706E">
        <w:rPr>
          <w:bCs/>
          <w:color w:val="000000" w:themeColor="text1"/>
          <w:sz w:val="28"/>
          <w:szCs w:val="28"/>
        </w:rPr>
        <w:t>б</w:t>
      </w:r>
      <w:r w:rsidR="0054706E">
        <w:rPr>
          <w:bCs/>
          <w:color w:val="000000" w:themeColor="text1"/>
          <w:sz w:val="28"/>
          <w:szCs w:val="28"/>
        </w:rPr>
        <w:t>-</w:t>
      </w:r>
      <w:bookmarkStart w:id="2" w:name="_GoBack"/>
      <w:bookmarkEnd w:id="2"/>
      <w:r w:rsidRPr="0054706E">
        <w:rPr>
          <w:bCs/>
          <w:color w:val="000000" w:themeColor="text1"/>
          <w:sz w:val="28"/>
          <w:szCs w:val="28"/>
        </w:rPr>
        <w:t>с</w:t>
      </w:r>
      <w:r w:rsidRPr="0051452B">
        <w:rPr>
          <w:bCs/>
          <w:sz w:val="28"/>
          <w:szCs w:val="28"/>
        </w:rPr>
        <w:t>айті або у засобах ма</w:t>
      </w:r>
      <w:r>
        <w:rPr>
          <w:bCs/>
          <w:sz w:val="28"/>
          <w:szCs w:val="28"/>
        </w:rPr>
        <w:t>сової інформації відомостей про</w:t>
      </w:r>
      <w:r w:rsidRPr="00E3313E">
        <w:rPr>
          <w:bCs/>
          <w:sz w:val="28"/>
          <w:szCs w:val="28"/>
        </w:rPr>
        <w:t xml:space="preserve"> </w:t>
      </w:r>
      <w:r w:rsidRPr="0051452B">
        <w:rPr>
          <w:bCs/>
          <w:sz w:val="28"/>
          <w:szCs w:val="28"/>
        </w:rPr>
        <w:t>отримання будь-якого майна, необхідного для забезпечення виконання завдань про</w:t>
      </w:r>
      <w:r>
        <w:rPr>
          <w:bCs/>
          <w:sz w:val="28"/>
          <w:szCs w:val="28"/>
        </w:rPr>
        <w:t>є</w:t>
      </w:r>
      <w:r w:rsidRPr="0051452B">
        <w:rPr>
          <w:bCs/>
          <w:sz w:val="28"/>
          <w:szCs w:val="28"/>
        </w:rPr>
        <w:t xml:space="preserve">ктів (програм), яке ввезено або придбано на митній території України, протягом 10 календарних днів з </w:t>
      </w:r>
      <w:r>
        <w:rPr>
          <w:bCs/>
          <w:sz w:val="28"/>
          <w:szCs w:val="28"/>
        </w:rPr>
        <w:t>дати зарахування його на баланс.</w:t>
      </w:r>
    </w:p>
    <w:p w:rsidR="005F5EAE" w:rsidRPr="00E3313E" w:rsidRDefault="005F5EAE" w:rsidP="005F5EAE">
      <w:pPr>
        <w:pStyle w:val="1"/>
        <w:shd w:val="clear" w:color="auto" w:fill="auto"/>
        <w:spacing w:line="254" w:lineRule="auto"/>
        <w:ind w:firstLine="709"/>
        <w:rPr>
          <w:sz w:val="28"/>
          <w:szCs w:val="28"/>
        </w:rPr>
      </w:pPr>
    </w:p>
    <w:p w:rsidR="005F5EAE" w:rsidRDefault="005F5EAE" w:rsidP="005F5EAE">
      <w:pPr>
        <w:pStyle w:val="1"/>
        <w:shd w:val="clear" w:color="auto" w:fill="auto"/>
        <w:spacing w:line="254" w:lineRule="auto"/>
        <w:ind w:firstLine="709"/>
        <w:rPr>
          <w:sz w:val="28"/>
          <w:szCs w:val="28"/>
        </w:rPr>
      </w:pPr>
    </w:p>
    <w:p w:rsidR="005F5EAE" w:rsidRPr="00E3313E" w:rsidRDefault="005F5EAE" w:rsidP="005F5EAE">
      <w:pPr>
        <w:pStyle w:val="1"/>
        <w:shd w:val="clear" w:color="auto" w:fill="auto"/>
        <w:spacing w:line="254" w:lineRule="auto"/>
        <w:ind w:firstLine="709"/>
        <w:rPr>
          <w:i/>
          <w:sz w:val="28"/>
          <w:szCs w:val="28"/>
        </w:rPr>
      </w:pPr>
    </w:p>
    <w:p w:rsidR="005F5EAE" w:rsidRPr="00E3313E" w:rsidRDefault="005F5EAE" w:rsidP="005F5EAE">
      <w:pPr>
        <w:pStyle w:val="1"/>
        <w:shd w:val="clear" w:color="auto" w:fill="auto"/>
        <w:spacing w:line="254" w:lineRule="auto"/>
        <w:ind w:firstLine="709"/>
        <w:rPr>
          <w:i/>
          <w:sz w:val="28"/>
          <w:szCs w:val="28"/>
        </w:rPr>
      </w:pPr>
    </w:p>
    <w:p w:rsidR="005F5EAE" w:rsidRPr="00E3313E" w:rsidRDefault="005F5EAE" w:rsidP="005F5EAE">
      <w:pPr>
        <w:pStyle w:val="1"/>
        <w:shd w:val="clear" w:color="auto" w:fill="auto"/>
        <w:spacing w:line="254" w:lineRule="auto"/>
        <w:ind w:firstLine="709"/>
        <w:rPr>
          <w:i/>
          <w:sz w:val="28"/>
          <w:szCs w:val="28"/>
        </w:rPr>
      </w:pPr>
    </w:p>
    <w:p w:rsidR="005F5EAE" w:rsidRDefault="005F5EAE" w:rsidP="005F5EAE">
      <w:pPr>
        <w:pStyle w:val="1"/>
        <w:shd w:val="clear" w:color="auto" w:fill="auto"/>
        <w:spacing w:line="254" w:lineRule="auto"/>
        <w:ind w:firstLine="709"/>
        <w:rPr>
          <w:sz w:val="28"/>
          <w:szCs w:val="28"/>
        </w:rPr>
      </w:pPr>
    </w:p>
    <w:p w:rsidR="005F5EAE" w:rsidRDefault="005F5EAE" w:rsidP="005F5EAE">
      <w:pPr>
        <w:pStyle w:val="1"/>
        <w:shd w:val="clear" w:color="auto" w:fill="auto"/>
        <w:spacing w:line="254" w:lineRule="auto"/>
        <w:ind w:firstLine="709"/>
        <w:rPr>
          <w:sz w:val="28"/>
          <w:szCs w:val="28"/>
        </w:rPr>
      </w:pPr>
    </w:p>
    <w:p w:rsidR="005F5EAE" w:rsidRDefault="005F5EAE" w:rsidP="005F5EAE">
      <w:pPr>
        <w:pStyle w:val="1"/>
        <w:shd w:val="clear" w:color="auto" w:fill="auto"/>
        <w:spacing w:line="254" w:lineRule="auto"/>
        <w:ind w:firstLine="709"/>
        <w:rPr>
          <w:sz w:val="28"/>
          <w:szCs w:val="28"/>
        </w:rPr>
      </w:pPr>
    </w:p>
    <w:p w:rsidR="005F5EAE" w:rsidRDefault="005F5EAE" w:rsidP="005F5EAE">
      <w:pPr>
        <w:pStyle w:val="1"/>
        <w:shd w:val="clear" w:color="auto" w:fill="auto"/>
        <w:spacing w:line="254" w:lineRule="auto"/>
        <w:ind w:firstLine="709"/>
        <w:rPr>
          <w:sz w:val="28"/>
          <w:szCs w:val="28"/>
        </w:rPr>
      </w:pPr>
    </w:p>
    <w:p w:rsidR="005F5EAE" w:rsidRDefault="005F5EAE" w:rsidP="005F5EAE">
      <w:pPr>
        <w:pStyle w:val="1"/>
        <w:shd w:val="clear" w:color="auto" w:fill="auto"/>
        <w:spacing w:line="254" w:lineRule="auto"/>
        <w:ind w:firstLine="709"/>
        <w:rPr>
          <w:sz w:val="28"/>
          <w:szCs w:val="28"/>
        </w:rPr>
      </w:pPr>
    </w:p>
    <w:p w:rsidR="005F5EAE" w:rsidRDefault="005F5EAE" w:rsidP="005F5EAE">
      <w:pPr>
        <w:pStyle w:val="1"/>
        <w:shd w:val="clear" w:color="auto" w:fill="auto"/>
        <w:spacing w:line="254" w:lineRule="auto"/>
        <w:ind w:firstLine="709"/>
        <w:rPr>
          <w:sz w:val="28"/>
          <w:szCs w:val="28"/>
        </w:rPr>
      </w:pPr>
    </w:p>
    <w:p w:rsidR="005F5EAE" w:rsidRDefault="005F5EAE" w:rsidP="005F5EAE">
      <w:pPr>
        <w:pStyle w:val="1"/>
        <w:shd w:val="clear" w:color="auto" w:fill="auto"/>
        <w:spacing w:line="254" w:lineRule="auto"/>
        <w:ind w:firstLine="709"/>
        <w:rPr>
          <w:sz w:val="28"/>
          <w:szCs w:val="28"/>
        </w:rPr>
      </w:pPr>
    </w:p>
    <w:p w:rsidR="005F5EAE" w:rsidRDefault="005F5EAE" w:rsidP="005F5EAE">
      <w:pPr>
        <w:keepNext/>
        <w:keepLines/>
        <w:ind w:left="567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Додаток </w:t>
      </w:r>
    </w:p>
    <w:p w:rsidR="005F5EAE" w:rsidRPr="00191FC6" w:rsidRDefault="005F5EAE" w:rsidP="005F5EAE">
      <w:pPr>
        <w:keepNext/>
        <w:keepLines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5209E1">
        <w:rPr>
          <w:rFonts w:ascii="Times New Roman" w:hAnsi="Times New Roman"/>
          <w:b/>
          <w:sz w:val="28"/>
        </w:rPr>
        <w:t>до Порядку</w:t>
      </w:r>
      <w:r>
        <w:rPr>
          <w:rFonts w:ascii="Times New Roman" w:hAnsi="Times New Roman"/>
          <w:b/>
          <w:sz w:val="28"/>
        </w:rPr>
        <w:t xml:space="preserve"> </w:t>
      </w:r>
      <w:r w:rsidRPr="00191FC6">
        <w:rPr>
          <w:rFonts w:ascii="Times New Roman" w:hAnsi="Times New Roman" w:cs="Times New Roman"/>
          <w:b/>
          <w:sz w:val="28"/>
          <w:szCs w:val="28"/>
        </w:rPr>
        <w:t>залучення, використання та моніторингу міжнародної</w:t>
      </w:r>
    </w:p>
    <w:p w:rsidR="005F5EAE" w:rsidRPr="00191FC6" w:rsidRDefault="005F5EAE" w:rsidP="005F5EAE">
      <w:pPr>
        <w:pStyle w:val="11"/>
        <w:keepNext/>
        <w:keepLines/>
        <w:shd w:val="clear" w:color="auto" w:fill="auto"/>
        <w:spacing w:after="120"/>
        <w:ind w:left="5670"/>
        <w:jc w:val="left"/>
      </w:pPr>
      <w:r w:rsidRPr="00191FC6">
        <w:t>технічної допомоги</w:t>
      </w:r>
    </w:p>
    <w:p w:rsidR="005F5EAE" w:rsidRPr="007A4D27" w:rsidRDefault="005F5EAE" w:rsidP="005F5EAE">
      <w:pPr>
        <w:keepNext/>
        <w:keepLines/>
        <w:spacing w:before="240" w:after="240"/>
        <w:jc w:val="center"/>
        <w:rPr>
          <w:rFonts w:ascii="Times New Roman" w:hAnsi="Times New Roman"/>
          <w:sz w:val="20"/>
        </w:rPr>
      </w:pPr>
      <w:r w:rsidRPr="007A4D27">
        <w:rPr>
          <w:rFonts w:ascii="Times New Roman" w:hAnsi="Times New Roman"/>
          <w:b/>
          <w:sz w:val="28"/>
          <w:szCs w:val="28"/>
        </w:rPr>
        <w:t>РЕЗУЛЬТАТИ</w:t>
      </w:r>
      <w:r w:rsidRPr="007A4D27">
        <w:rPr>
          <w:rFonts w:ascii="Times New Roman" w:hAnsi="Times New Roman"/>
          <w:b/>
          <w:sz w:val="28"/>
          <w:szCs w:val="28"/>
        </w:rPr>
        <w:br/>
        <w:t>поточного/заключного моніторингу</w:t>
      </w:r>
      <w:r w:rsidRPr="007A4D27">
        <w:rPr>
          <w:rFonts w:ascii="Times New Roman" w:hAnsi="Times New Roman"/>
          <w:b/>
          <w:sz w:val="28"/>
          <w:szCs w:val="28"/>
        </w:rPr>
        <w:br/>
        <w:t>про</w:t>
      </w:r>
      <w:r>
        <w:rPr>
          <w:rFonts w:ascii="Times New Roman" w:hAnsi="Times New Roman"/>
          <w:b/>
          <w:sz w:val="28"/>
          <w:szCs w:val="28"/>
        </w:rPr>
        <w:t>є</w:t>
      </w:r>
      <w:r w:rsidRPr="007A4D27">
        <w:rPr>
          <w:rFonts w:ascii="Times New Roman" w:hAnsi="Times New Roman"/>
          <w:b/>
          <w:sz w:val="28"/>
          <w:szCs w:val="28"/>
        </w:rPr>
        <w:t>кту (програми)</w:t>
      </w:r>
      <w:r w:rsidRPr="007A4D27">
        <w:rPr>
          <w:rFonts w:ascii="Times New Roman" w:hAnsi="Times New Roman"/>
        </w:rPr>
        <w:t xml:space="preserve"> __________________________________________</w:t>
      </w:r>
      <w:r w:rsidRPr="007A4D27">
        <w:rPr>
          <w:rFonts w:ascii="Times New Roman" w:hAnsi="Times New Roman"/>
        </w:rPr>
        <w:br/>
      </w:r>
      <w:r w:rsidRPr="007A4D27">
        <w:rPr>
          <w:rFonts w:ascii="Times New Roman" w:hAnsi="Times New Roman"/>
          <w:sz w:val="20"/>
        </w:rPr>
        <w:t xml:space="preserve">                                            (повне найменування про</w:t>
      </w:r>
      <w:r>
        <w:rPr>
          <w:rFonts w:ascii="Times New Roman" w:hAnsi="Times New Roman"/>
          <w:sz w:val="20"/>
        </w:rPr>
        <w:t>є</w:t>
      </w:r>
      <w:r w:rsidRPr="007A4D27">
        <w:rPr>
          <w:rFonts w:ascii="Times New Roman" w:hAnsi="Times New Roman"/>
          <w:sz w:val="20"/>
        </w:rPr>
        <w:t>кту (програми)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1328"/>
        <w:gridCol w:w="1210"/>
        <w:gridCol w:w="2966"/>
      </w:tblGrid>
      <w:tr w:rsidR="005F5EAE" w:rsidRPr="007A4D27" w:rsidTr="007C5AB5">
        <w:trPr>
          <w:trHeight w:val="20"/>
        </w:trPr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AE" w:rsidRPr="007A4D27" w:rsidRDefault="005F5EAE" w:rsidP="007C5AB5">
            <w:pPr>
              <w:spacing w:line="252" w:lineRule="auto"/>
              <w:rPr>
                <w:rFonts w:ascii="Times New Roman" w:hAnsi="Times New Roman"/>
              </w:rPr>
            </w:pPr>
            <w:r w:rsidRPr="007A4D27">
              <w:rPr>
                <w:rFonts w:ascii="Times New Roman" w:hAnsi="Times New Roman"/>
              </w:rPr>
              <w:t>Піврічний/річний/заключний (зазначити необхідне)</w:t>
            </w:r>
          </w:p>
        </w:tc>
        <w:tc>
          <w:tcPr>
            <w:tcW w:w="2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E" w:rsidRPr="007A4D27" w:rsidRDefault="005F5EAE" w:rsidP="007C5AB5">
            <w:pPr>
              <w:spacing w:line="252" w:lineRule="auto"/>
              <w:rPr>
                <w:rFonts w:ascii="Times New Roman" w:hAnsi="Times New Roman"/>
              </w:rPr>
            </w:pPr>
          </w:p>
        </w:tc>
      </w:tr>
      <w:tr w:rsidR="005F5EAE" w:rsidRPr="007A4D27" w:rsidTr="007C5AB5">
        <w:trPr>
          <w:trHeight w:val="20"/>
        </w:trPr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AE" w:rsidRPr="007A4D27" w:rsidRDefault="005F5EAE" w:rsidP="007C5AB5">
            <w:pPr>
              <w:spacing w:line="252" w:lineRule="auto"/>
              <w:rPr>
                <w:rFonts w:ascii="Times New Roman" w:hAnsi="Times New Roman"/>
              </w:rPr>
            </w:pPr>
            <w:r w:rsidRPr="007A4D27">
              <w:rPr>
                <w:rFonts w:ascii="Times New Roman" w:hAnsi="Times New Roman"/>
              </w:rPr>
              <w:t>Період звітування</w:t>
            </w:r>
          </w:p>
        </w:tc>
        <w:tc>
          <w:tcPr>
            <w:tcW w:w="2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E" w:rsidRPr="007A4D27" w:rsidRDefault="005F5EAE" w:rsidP="007C5AB5">
            <w:pPr>
              <w:spacing w:line="252" w:lineRule="auto"/>
              <w:rPr>
                <w:rFonts w:ascii="Times New Roman" w:hAnsi="Times New Roman"/>
              </w:rPr>
            </w:pPr>
          </w:p>
        </w:tc>
      </w:tr>
      <w:tr w:rsidR="005F5EAE" w:rsidRPr="007A4D27" w:rsidTr="007C5AB5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AE" w:rsidRPr="007A4D27" w:rsidRDefault="005F5EAE" w:rsidP="007C5AB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bookmarkStart w:id="3" w:name="n270"/>
            <w:bookmarkEnd w:id="3"/>
            <w:r w:rsidRPr="007A4D27">
              <w:rPr>
                <w:rFonts w:ascii="Times New Roman" w:hAnsi="Times New Roman"/>
              </w:rPr>
              <w:t>1. Вихідні дані про</w:t>
            </w:r>
            <w:r>
              <w:rPr>
                <w:rFonts w:ascii="Times New Roman" w:hAnsi="Times New Roman"/>
              </w:rPr>
              <w:t>є</w:t>
            </w:r>
            <w:r w:rsidRPr="007A4D27">
              <w:rPr>
                <w:rFonts w:ascii="Times New Roman" w:hAnsi="Times New Roman"/>
              </w:rPr>
              <w:t>кту (програми)</w:t>
            </w:r>
          </w:p>
        </w:tc>
      </w:tr>
      <w:tr w:rsidR="005F5EAE" w:rsidRPr="007A4D27" w:rsidTr="007C5AB5">
        <w:trPr>
          <w:trHeight w:val="20"/>
        </w:trPr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AE" w:rsidRPr="007A4D27" w:rsidRDefault="005F5EAE" w:rsidP="007C5AB5">
            <w:pPr>
              <w:spacing w:line="252" w:lineRule="auto"/>
              <w:rPr>
                <w:rFonts w:ascii="Times New Roman" w:hAnsi="Times New Roman"/>
              </w:rPr>
            </w:pPr>
            <w:r w:rsidRPr="007A4D27">
              <w:rPr>
                <w:rFonts w:ascii="Times New Roman" w:hAnsi="Times New Roman"/>
              </w:rPr>
              <w:t>Партнер з розвитку</w:t>
            </w:r>
          </w:p>
        </w:tc>
        <w:tc>
          <w:tcPr>
            <w:tcW w:w="2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E" w:rsidRPr="007A4D27" w:rsidRDefault="005F5EAE" w:rsidP="007C5AB5">
            <w:pPr>
              <w:spacing w:line="252" w:lineRule="auto"/>
              <w:rPr>
                <w:rFonts w:ascii="Times New Roman" w:hAnsi="Times New Roman"/>
              </w:rPr>
            </w:pPr>
          </w:p>
        </w:tc>
      </w:tr>
      <w:tr w:rsidR="005F5EAE" w:rsidRPr="007A4D27" w:rsidTr="007C5AB5">
        <w:trPr>
          <w:trHeight w:val="20"/>
        </w:trPr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AE" w:rsidRPr="007A4D27" w:rsidRDefault="005F5EAE" w:rsidP="007C5AB5">
            <w:pPr>
              <w:spacing w:line="252" w:lineRule="auto"/>
              <w:rPr>
                <w:rFonts w:ascii="Times New Roman" w:hAnsi="Times New Roman"/>
              </w:rPr>
            </w:pPr>
            <w:r w:rsidRPr="007A4D27">
              <w:rPr>
                <w:rFonts w:ascii="Times New Roman" w:hAnsi="Times New Roman"/>
              </w:rPr>
              <w:t>Бенефіціар</w:t>
            </w:r>
          </w:p>
        </w:tc>
        <w:tc>
          <w:tcPr>
            <w:tcW w:w="2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E" w:rsidRPr="007A4D27" w:rsidRDefault="005F5EAE" w:rsidP="007C5AB5">
            <w:pPr>
              <w:spacing w:line="252" w:lineRule="auto"/>
              <w:rPr>
                <w:rFonts w:ascii="Times New Roman" w:hAnsi="Times New Roman"/>
              </w:rPr>
            </w:pPr>
          </w:p>
        </w:tc>
      </w:tr>
      <w:tr w:rsidR="005F5EAE" w:rsidRPr="007A4D27" w:rsidTr="007C5AB5">
        <w:trPr>
          <w:trHeight w:val="20"/>
        </w:trPr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AE" w:rsidRPr="007A4D27" w:rsidRDefault="005F5EAE" w:rsidP="007C5AB5">
            <w:pPr>
              <w:spacing w:line="252" w:lineRule="auto"/>
              <w:rPr>
                <w:rFonts w:ascii="Times New Roman" w:hAnsi="Times New Roman"/>
              </w:rPr>
            </w:pPr>
            <w:r w:rsidRPr="007A4D27">
              <w:rPr>
                <w:rFonts w:ascii="Times New Roman" w:hAnsi="Times New Roman"/>
              </w:rPr>
              <w:t>Реципієнт</w:t>
            </w:r>
          </w:p>
        </w:tc>
        <w:tc>
          <w:tcPr>
            <w:tcW w:w="2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E" w:rsidRPr="007A4D27" w:rsidRDefault="005F5EAE" w:rsidP="007C5AB5">
            <w:pPr>
              <w:spacing w:line="252" w:lineRule="auto"/>
              <w:rPr>
                <w:rFonts w:ascii="Times New Roman" w:hAnsi="Times New Roman"/>
              </w:rPr>
            </w:pPr>
          </w:p>
        </w:tc>
      </w:tr>
      <w:tr w:rsidR="005F5EAE" w:rsidRPr="007A4D27" w:rsidTr="007C5AB5">
        <w:trPr>
          <w:trHeight w:val="20"/>
        </w:trPr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AE" w:rsidRPr="007A4D27" w:rsidRDefault="005F5EAE" w:rsidP="007C5AB5">
            <w:pPr>
              <w:spacing w:line="252" w:lineRule="auto"/>
              <w:rPr>
                <w:rFonts w:ascii="Times New Roman" w:hAnsi="Times New Roman"/>
              </w:rPr>
            </w:pPr>
            <w:r w:rsidRPr="007A4D27">
              <w:rPr>
                <w:rFonts w:ascii="Times New Roman" w:hAnsi="Times New Roman"/>
              </w:rPr>
              <w:t>Номер реєстраційної картки проекту</w:t>
            </w:r>
          </w:p>
        </w:tc>
        <w:tc>
          <w:tcPr>
            <w:tcW w:w="2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E" w:rsidRPr="007A4D27" w:rsidRDefault="005F5EAE" w:rsidP="007C5AB5">
            <w:pPr>
              <w:spacing w:line="252" w:lineRule="auto"/>
              <w:rPr>
                <w:rFonts w:ascii="Times New Roman" w:hAnsi="Times New Roman"/>
              </w:rPr>
            </w:pPr>
          </w:p>
        </w:tc>
      </w:tr>
      <w:tr w:rsidR="005F5EAE" w:rsidRPr="007A4D27" w:rsidTr="007C5AB5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AE" w:rsidRPr="007A4D27" w:rsidRDefault="005F5EAE" w:rsidP="007C5AB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7A4D27">
              <w:rPr>
                <w:rFonts w:ascii="Times New Roman" w:hAnsi="Times New Roman"/>
              </w:rPr>
              <w:t>2. Інформація про досягнення очікуваних результатів</w:t>
            </w:r>
          </w:p>
        </w:tc>
      </w:tr>
      <w:tr w:rsidR="005F5EAE" w:rsidRPr="007A4D27" w:rsidTr="007C5AB5">
        <w:trPr>
          <w:trHeight w:val="20"/>
        </w:trPr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AE" w:rsidRPr="007A4D27" w:rsidRDefault="005F5EAE" w:rsidP="007C5AB5">
            <w:pPr>
              <w:spacing w:before="120" w:line="252" w:lineRule="auto"/>
              <w:rPr>
                <w:rFonts w:ascii="Times New Roman" w:hAnsi="Times New Roman"/>
              </w:rPr>
            </w:pPr>
            <w:r w:rsidRPr="007A4D27">
              <w:rPr>
                <w:rFonts w:ascii="Times New Roman" w:hAnsi="Times New Roman"/>
              </w:rPr>
              <w:t>Узагальнені результати реалізації про</w:t>
            </w:r>
            <w:r>
              <w:rPr>
                <w:rFonts w:ascii="Times New Roman" w:hAnsi="Times New Roman"/>
              </w:rPr>
              <w:t>є</w:t>
            </w:r>
            <w:r w:rsidRPr="007A4D27">
              <w:rPr>
                <w:rFonts w:ascii="Times New Roman" w:hAnsi="Times New Roman"/>
              </w:rPr>
              <w:t>кту (програми) в кільк</w:t>
            </w:r>
            <w:r>
              <w:rPr>
                <w:rFonts w:ascii="Times New Roman" w:hAnsi="Times New Roman"/>
              </w:rPr>
              <w:t>існих та/або якісних показниках</w:t>
            </w:r>
          </w:p>
        </w:tc>
        <w:tc>
          <w:tcPr>
            <w:tcW w:w="2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E" w:rsidRPr="007A4D27" w:rsidRDefault="005F5EAE" w:rsidP="007C5AB5">
            <w:pPr>
              <w:spacing w:before="120" w:line="252" w:lineRule="auto"/>
              <w:rPr>
                <w:rFonts w:ascii="Times New Roman" w:hAnsi="Times New Roman"/>
              </w:rPr>
            </w:pPr>
          </w:p>
        </w:tc>
      </w:tr>
      <w:tr w:rsidR="005F5EAE" w:rsidRPr="007A4D27" w:rsidTr="007C5AB5">
        <w:trPr>
          <w:trHeight w:val="20"/>
        </w:trPr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AE" w:rsidRPr="007A4D27" w:rsidRDefault="005F5EAE" w:rsidP="007C5AB5">
            <w:pPr>
              <w:spacing w:before="120" w:line="252" w:lineRule="auto"/>
              <w:rPr>
                <w:rFonts w:ascii="Times New Roman" w:hAnsi="Times New Roman"/>
              </w:rPr>
            </w:pPr>
            <w:r w:rsidRPr="007A4D27">
              <w:rPr>
                <w:rFonts w:ascii="Times New Roman" w:hAnsi="Times New Roman"/>
              </w:rPr>
              <w:t>Посилання на інтернет-ресурси, де розміщено інформацію про результати реалізації про</w:t>
            </w:r>
            <w:r>
              <w:rPr>
                <w:rFonts w:ascii="Times New Roman" w:hAnsi="Times New Roman"/>
              </w:rPr>
              <w:t>є</w:t>
            </w:r>
            <w:r w:rsidRPr="007A4D27">
              <w:rPr>
                <w:rFonts w:ascii="Times New Roman" w:hAnsi="Times New Roman"/>
              </w:rPr>
              <w:t>кту (програми) та інші матеріали або документи, розроблен</w:t>
            </w:r>
            <w:r>
              <w:rPr>
                <w:rFonts w:ascii="Times New Roman" w:hAnsi="Times New Roman"/>
              </w:rPr>
              <w:t>і в рамках проєкту (програми)</w:t>
            </w:r>
          </w:p>
        </w:tc>
        <w:tc>
          <w:tcPr>
            <w:tcW w:w="2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E" w:rsidRPr="007A4D27" w:rsidRDefault="005F5EAE" w:rsidP="007C5AB5">
            <w:pPr>
              <w:spacing w:before="120" w:line="252" w:lineRule="auto"/>
              <w:rPr>
                <w:rFonts w:ascii="Times New Roman" w:hAnsi="Times New Roman"/>
              </w:rPr>
            </w:pPr>
          </w:p>
        </w:tc>
      </w:tr>
      <w:tr w:rsidR="005F5EAE" w:rsidRPr="007A4D27" w:rsidTr="007C5AB5">
        <w:trPr>
          <w:trHeight w:val="20"/>
        </w:trPr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AE" w:rsidRPr="007A4D27" w:rsidRDefault="005F5EAE" w:rsidP="007C5AB5">
            <w:pPr>
              <w:spacing w:before="120" w:line="252" w:lineRule="auto"/>
              <w:rPr>
                <w:rFonts w:ascii="Times New Roman" w:hAnsi="Times New Roman"/>
              </w:rPr>
            </w:pPr>
            <w:r w:rsidRPr="007A4D27">
              <w:rPr>
                <w:rFonts w:ascii="Times New Roman" w:hAnsi="Times New Roman"/>
              </w:rPr>
              <w:t>Загальна сума витрачених під час реалізації про</w:t>
            </w:r>
            <w:r>
              <w:rPr>
                <w:rFonts w:ascii="Times New Roman" w:hAnsi="Times New Roman"/>
              </w:rPr>
              <w:t>є</w:t>
            </w:r>
            <w:r w:rsidRPr="007A4D27">
              <w:rPr>
                <w:rFonts w:ascii="Times New Roman" w:hAnsi="Times New Roman"/>
              </w:rPr>
              <w:t>кту (програми) коштів міжнародної технічної допомоги на кінець звітного періоду (за наявності),</w:t>
            </w:r>
            <w:r w:rsidRPr="007A4D27">
              <w:rPr>
                <w:rFonts w:ascii="Times New Roman" w:hAnsi="Times New Roman"/>
              </w:rPr>
              <w:br/>
              <w:t>у тому числі за категоріями:</w:t>
            </w:r>
          </w:p>
        </w:tc>
        <w:tc>
          <w:tcPr>
            <w:tcW w:w="2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E" w:rsidRPr="007A4D27" w:rsidRDefault="005F5EAE" w:rsidP="007C5AB5">
            <w:pPr>
              <w:spacing w:before="120" w:line="252" w:lineRule="auto"/>
              <w:rPr>
                <w:rFonts w:ascii="Times New Roman" w:hAnsi="Times New Roman"/>
              </w:rPr>
            </w:pPr>
          </w:p>
        </w:tc>
      </w:tr>
      <w:tr w:rsidR="005F5EAE" w:rsidRPr="007A4D27" w:rsidTr="007C5AB5">
        <w:trPr>
          <w:trHeight w:val="20"/>
        </w:trPr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AE" w:rsidRPr="007A4D27" w:rsidRDefault="005F5EAE" w:rsidP="007C5AB5">
            <w:pPr>
              <w:spacing w:before="120" w:line="252" w:lineRule="auto"/>
              <w:rPr>
                <w:rFonts w:ascii="Times New Roman" w:hAnsi="Times New Roman"/>
              </w:rPr>
            </w:pPr>
            <w:r w:rsidRPr="007A4D27">
              <w:rPr>
                <w:rFonts w:ascii="Times New Roman" w:hAnsi="Times New Roman"/>
              </w:rPr>
              <w:t>послуги з організації тренінгів, навчання, опитування, інформаційні кампанії</w:t>
            </w:r>
          </w:p>
        </w:tc>
        <w:tc>
          <w:tcPr>
            <w:tcW w:w="2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E" w:rsidRPr="007A4D27" w:rsidRDefault="005F5EAE" w:rsidP="007C5AB5">
            <w:pPr>
              <w:spacing w:before="120" w:line="252" w:lineRule="auto"/>
              <w:rPr>
                <w:rFonts w:ascii="Times New Roman" w:hAnsi="Times New Roman"/>
              </w:rPr>
            </w:pPr>
          </w:p>
        </w:tc>
      </w:tr>
      <w:tr w:rsidR="005F5EAE" w:rsidRPr="007A4D27" w:rsidTr="007C5AB5">
        <w:trPr>
          <w:trHeight w:val="20"/>
        </w:trPr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AE" w:rsidRPr="007A4D27" w:rsidRDefault="005F5EAE" w:rsidP="007C5AB5">
            <w:pPr>
              <w:spacing w:before="120" w:line="252" w:lineRule="auto"/>
              <w:rPr>
                <w:rFonts w:ascii="Times New Roman" w:hAnsi="Times New Roman"/>
              </w:rPr>
            </w:pPr>
            <w:r w:rsidRPr="007A4D27">
              <w:rPr>
                <w:rFonts w:ascii="Times New Roman" w:hAnsi="Times New Roman"/>
              </w:rPr>
              <w:t>консультаційні послуги</w:t>
            </w:r>
          </w:p>
        </w:tc>
        <w:tc>
          <w:tcPr>
            <w:tcW w:w="2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E" w:rsidRPr="007A4D27" w:rsidRDefault="005F5EAE" w:rsidP="007C5AB5">
            <w:pPr>
              <w:spacing w:before="120" w:line="252" w:lineRule="auto"/>
              <w:rPr>
                <w:rFonts w:ascii="Times New Roman" w:hAnsi="Times New Roman"/>
              </w:rPr>
            </w:pPr>
          </w:p>
        </w:tc>
      </w:tr>
      <w:tr w:rsidR="005F5EAE" w:rsidRPr="007A4D27" w:rsidTr="007C5AB5">
        <w:trPr>
          <w:trHeight w:val="20"/>
        </w:trPr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AE" w:rsidRPr="007A4D27" w:rsidRDefault="005F5EAE" w:rsidP="007C5AB5">
            <w:pPr>
              <w:spacing w:before="120" w:line="252" w:lineRule="auto"/>
              <w:rPr>
                <w:rFonts w:ascii="Times New Roman" w:hAnsi="Times New Roman"/>
              </w:rPr>
            </w:pPr>
            <w:r w:rsidRPr="007A4D27">
              <w:rPr>
                <w:rFonts w:ascii="Times New Roman" w:hAnsi="Times New Roman"/>
              </w:rPr>
              <w:t>обладнання</w:t>
            </w:r>
          </w:p>
        </w:tc>
        <w:tc>
          <w:tcPr>
            <w:tcW w:w="2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E" w:rsidRPr="007A4D27" w:rsidRDefault="005F5EAE" w:rsidP="007C5AB5">
            <w:pPr>
              <w:spacing w:before="120" w:line="252" w:lineRule="auto"/>
              <w:rPr>
                <w:rFonts w:ascii="Times New Roman" w:hAnsi="Times New Roman"/>
              </w:rPr>
            </w:pPr>
          </w:p>
        </w:tc>
      </w:tr>
      <w:tr w:rsidR="005F5EAE" w:rsidRPr="007A4D27" w:rsidTr="007C5AB5">
        <w:trPr>
          <w:trHeight w:val="20"/>
        </w:trPr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AE" w:rsidRPr="007A4D27" w:rsidRDefault="005F5EAE" w:rsidP="007C5AB5">
            <w:pPr>
              <w:spacing w:before="120" w:line="252" w:lineRule="auto"/>
              <w:rPr>
                <w:rFonts w:ascii="Times New Roman" w:hAnsi="Times New Roman"/>
              </w:rPr>
            </w:pPr>
            <w:r w:rsidRPr="007A4D27">
              <w:rPr>
                <w:rFonts w:ascii="Times New Roman" w:hAnsi="Times New Roman"/>
              </w:rPr>
              <w:t>будівельні, ремонтні роботи, технічний нагляд</w:t>
            </w:r>
          </w:p>
        </w:tc>
        <w:tc>
          <w:tcPr>
            <w:tcW w:w="2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E" w:rsidRPr="007A4D27" w:rsidRDefault="005F5EAE" w:rsidP="007C5AB5">
            <w:pPr>
              <w:spacing w:before="120" w:line="252" w:lineRule="auto"/>
              <w:rPr>
                <w:rFonts w:ascii="Times New Roman" w:hAnsi="Times New Roman"/>
              </w:rPr>
            </w:pPr>
          </w:p>
        </w:tc>
      </w:tr>
      <w:tr w:rsidR="005F5EAE" w:rsidRPr="007A4D27" w:rsidTr="007C5AB5">
        <w:trPr>
          <w:trHeight w:val="20"/>
        </w:trPr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AE" w:rsidRPr="007A4D27" w:rsidRDefault="005F5EAE" w:rsidP="007C5AB5">
            <w:pPr>
              <w:spacing w:before="120" w:line="252" w:lineRule="auto"/>
              <w:rPr>
                <w:rFonts w:ascii="Times New Roman" w:hAnsi="Times New Roman"/>
              </w:rPr>
            </w:pPr>
            <w:r w:rsidRPr="007A4D27">
              <w:rPr>
                <w:rFonts w:ascii="Times New Roman" w:hAnsi="Times New Roman"/>
              </w:rPr>
              <w:t>адміністративні витрати виконавця</w:t>
            </w:r>
          </w:p>
        </w:tc>
        <w:tc>
          <w:tcPr>
            <w:tcW w:w="2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E" w:rsidRPr="007A4D27" w:rsidRDefault="005F5EAE" w:rsidP="007C5AB5">
            <w:pPr>
              <w:spacing w:before="120" w:line="252" w:lineRule="auto"/>
              <w:rPr>
                <w:rFonts w:ascii="Times New Roman" w:hAnsi="Times New Roman"/>
              </w:rPr>
            </w:pPr>
          </w:p>
        </w:tc>
      </w:tr>
      <w:tr w:rsidR="005F5EAE" w:rsidRPr="007A4D27" w:rsidTr="007C5AB5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AE" w:rsidRPr="007A4D27" w:rsidRDefault="005F5EAE" w:rsidP="007C5AB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7A4D27">
              <w:rPr>
                <w:rFonts w:ascii="Times New Roman" w:hAnsi="Times New Roman"/>
              </w:rPr>
              <w:t>3. Порівняння запланованих результатів про</w:t>
            </w:r>
            <w:r>
              <w:rPr>
                <w:rFonts w:ascii="Times New Roman" w:hAnsi="Times New Roman"/>
              </w:rPr>
              <w:t>є</w:t>
            </w:r>
            <w:r w:rsidRPr="007A4D27">
              <w:rPr>
                <w:rFonts w:ascii="Times New Roman" w:hAnsi="Times New Roman"/>
              </w:rPr>
              <w:t>кту (програми) з досягнутими</w:t>
            </w:r>
          </w:p>
        </w:tc>
      </w:tr>
      <w:tr w:rsidR="005F5EAE" w:rsidRPr="007A4D27" w:rsidTr="007C5AB5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AE" w:rsidRPr="007A4D27" w:rsidRDefault="005F5EAE" w:rsidP="007C5AB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7A4D27">
              <w:rPr>
                <w:rFonts w:ascii="Times New Roman" w:hAnsi="Times New Roman"/>
              </w:rPr>
              <w:t>Кількісні та/або якісні критерії резу</w:t>
            </w:r>
            <w:r>
              <w:rPr>
                <w:rFonts w:ascii="Times New Roman" w:hAnsi="Times New Roman"/>
              </w:rPr>
              <w:t>льтативності проєкту (програми)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AE" w:rsidRPr="007A4D27" w:rsidRDefault="005F5EAE" w:rsidP="007C5AB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7A4D27">
              <w:rPr>
                <w:rFonts w:ascii="Times New Roman" w:hAnsi="Times New Roman"/>
              </w:rPr>
              <w:t>Заплановані результати на кінець звітного періоду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AE" w:rsidRPr="007A4D27" w:rsidRDefault="005F5EAE" w:rsidP="007C5AB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7A4D27">
              <w:rPr>
                <w:rFonts w:ascii="Times New Roman" w:hAnsi="Times New Roman"/>
              </w:rPr>
              <w:t>Фактичні результати на кінець звітного періоду</w:t>
            </w:r>
          </w:p>
        </w:tc>
      </w:tr>
      <w:tr w:rsidR="005F5EAE" w:rsidRPr="007A4D27" w:rsidTr="007C5AB5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E" w:rsidRPr="007A4D27" w:rsidRDefault="005F5EAE" w:rsidP="007C5AB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E" w:rsidRPr="007A4D27" w:rsidRDefault="005F5EAE" w:rsidP="007C5AB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E" w:rsidRPr="007A4D27" w:rsidRDefault="005F5EAE" w:rsidP="007C5AB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5F5EAE" w:rsidRPr="007A4D27" w:rsidTr="007C5AB5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AE" w:rsidRPr="007A4D27" w:rsidRDefault="005F5EAE" w:rsidP="007C5AB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7A4D27">
              <w:rPr>
                <w:rFonts w:ascii="Times New Roman" w:hAnsi="Times New Roman"/>
              </w:rPr>
              <w:t>4. Проблемні питання та/або пропозиції</w:t>
            </w:r>
          </w:p>
        </w:tc>
      </w:tr>
      <w:tr w:rsidR="005F5EAE" w:rsidRPr="007A4D27" w:rsidTr="007C5AB5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E" w:rsidRPr="007A4D27" w:rsidRDefault="005F5EAE" w:rsidP="007C5AB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F5EAE" w:rsidRPr="007A4D27" w:rsidRDefault="005F5EAE" w:rsidP="005F5EAE">
      <w:pPr>
        <w:jc w:val="both"/>
        <w:rPr>
          <w:rFonts w:ascii="Times New Roman" w:hAnsi="Times New Roman"/>
          <w:b/>
        </w:rPr>
      </w:pPr>
      <w:bookmarkStart w:id="4" w:name="n263"/>
      <w:bookmarkEnd w:id="4"/>
    </w:p>
    <w:tbl>
      <w:tblPr>
        <w:tblW w:w="5000" w:type="pct"/>
        <w:tblLook w:val="04A0" w:firstRow="1" w:lastRow="0" w:firstColumn="1" w:lastColumn="0" w:noHBand="0" w:noVBand="1"/>
      </w:tblPr>
      <w:tblGrid>
        <w:gridCol w:w="3993"/>
        <w:gridCol w:w="2580"/>
        <w:gridCol w:w="3282"/>
      </w:tblGrid>
      <w:tr w:rsidR="005F5EAE" w:rsidRPr="007A4D27" w:rsidTr="007C5AB5">
        <w:trPr>
          <w:trHeight w:val="874"/>
        </w:trPr>
        <w:tc>
          <w:tcPr>
            <w:tcW w:w="2026" w:type="pct"/>
            <w:hideMark/>
          </w:tcPr>
          <w:p w:rsidR="005F5EAE" w:rsidRPr="007A4D27" w:rsidRDefault="005F5EAE" w:rsidP="007C5AB5">
            <w:pPr>
              <w:spacing w:before="120" w:line="252" w:lineRule="auto"/>
              <w:rPr>
                <w:rFonts w:ascii="Times New Roman" w:hAnsi="Times New Roman"/>
              </w:rPr>
            </w:pPr>
            <w:r w:rsidRPr="007A4D27">
              <w:rPr>
                <w:rFonts w:ascii="Times New Roman" w:hAnsi="Times New Roman"/>
              </w:rPr>
              <w:t>Відповідальна особа</w:t>
            </w:r>
          </w:p>
        </w:tc>
        <w:tc>
          <w:tcPr>
            <w:tcW w:w="1309" w:type="pct"/>
            <w:hideMark/>
          </w:tcPr>
          <w:p w:rsidR="005F5EAE" w:rsidRPr="007A4D27" w:rsidRDefault="005F5EAE" w:rsidP="007C5AB5">
            <w:pPr>
              <w:spacing w:before="120" w:line="252" w:lineRule="auto"/>
              <w:jc w:val="center"/>
              <w:rPr>
                <w:rFonts w:ascii="Times New Roman" w:hAnsi="Times New Roman"/>
              </w:rPr>
            </w:pPr>
            <w:r w:rsidRPr="007A4D27">
              <w:rPr>
                <w:rFonts w:ascii="Times New Roman" w:hAnsi="Times New Roman"/>
              </w:rPr>
              <w:t>________________</w:t>
            </w:r>
            <w:r w:rsidRPr="007A4D27">
              <w:rPr>
                <w:rFonts w:ascii="Times New Roman" w:hAnsi="Times New Roman"/>
              </w:rPr>
              <w:br/>
            </w:r>
            <w:r w:rsidRPr="00A1687B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665" w:type="pct"/>
            <w:hideMark/>
          </w:tcPr>
          <w:p w:rsidR="005F5EAE" w:rsidRDefault="005F5EAE" w:rsidP="007C5AB5">
            <w:pPr>
              <w:spacing w:before="120" w:line="252" w:lineRule="auto"/>
              <w:jc w:val="center"/>
              <w:rPr>
                <w:rFonts w:ascii="Times New Roman" w:hAnsi="Times New Roman"/>
                <w:sz w:val="20"/>
              </w:rPr>
            </w:pPr>
            <w:r w:rsidRPr="007A4D27">
              <w:rPr>
                <w:rFonts w:ascii="Times New Roman" w:hAnsi="Times New Roman"/>
              </w:rPr>
              <w:t>_______________________</w:t>
            </w:r>
            <w:r w:rsidRPr="007A4D27">
              <w:rPr>
                <w:rFonts w:ascii="Times New Roman" w:hAnsi="Times New Roman"/>
              </w:rPr>
              <w:br/>
            </w:r>
            <w:r w:rsidRPr="00A1687B">
              <w:rPr>
                <w:rFonts w:ascii="Times New Roman" w:hAnsi="Times New Roman"/>
                <w:sz w:val="20"/>
              </w:rPr>
              <w:t>(ініціали та прізвище)</w:t>
            </w:r>
          </w:p>
          <w:p w:rsidR="005F5EAE" w:rsidRPr="007A4D27" w:rsidRDefault="005F5EAE" w:rsidP="007C5AB5">
            <w:pPr>
              <w:spacing w:before="120"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31928" w:rsidRDefault="00A31928"/>
    <w:sectPr w:rsidR="00A319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AE"/>
    <w:rsid w:val="0054706E"/>
    <w:rsid w:val="005F5EAE"/>
    <w:rsid w:val="00A3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39003"/>
  <w15:docId w15:val="{EBA0F9C1-9F3A-4772-96AB-94CC25B9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5E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5F5E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5F5E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ий текст1"/>
    <w:basedOn w:val="a"/>
    <w:link w:val="a3"/>
    <w:rsid w:val="005F5EAE"/>
    <w:pPr>
      <w:shd w:val="clear" w:color="auto" w:fill="FFFFFF"/>
      <w:spacing w:after="140" w:line="262" w:lineRule="auto"/>
      <w:ind w:firstLine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5F5EAE"/>
    <w:pPr>
      <w:shd w:val="clear" w:color="auto" w:fill="FFFFFF"/>
      <w:spacing w:after="1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Потильчак Антон Олександрович</dc:creator>
  <cp:lastModifiedBy>Філіпов Вадим Володимирович</cp:lastModifiedBy>
  <cp:revision>2</cp:revision>
  <dcterms:created xsi:type="dcterms:W3CDTF">2023-03-24T10:52:00Z</dcterms:created>
  <dcterms:modified xsi:type="dcterms:W3CDTF">2023-03-24T11:09:00Z</dcterms:modified>
</cp:coreProperties>
</file>