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CATALOGUE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of training events of the National School of Judges of Ukraine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for periodic training of judges to improve their qualifications for 2026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117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0"/>
        <w:gridCol w:w="1890"/>
        <w:gridCol w:w="7095"/>
        <w:tblGridChange w:id="0">
          <w:tblGrid>
            <w:gridCol w:w="930"/>
            <w:gridCol w:w="1890"/>
            <w:gridCol w:w="709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Name of the training event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20.01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03.02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03.03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Anti-corruption legislation: key aspects of financial control. Electronic declarations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21.01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Basic security standards and biometric data integration in the interpretation of the EU Court and administrative proceedings in Ukraine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</w:tc>
      </w:tr>
      <w:tr>
        <w:trPr>
          <w:cantSplit w:val="0"/>
          <w:trHeight w:val="1844.7656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22.01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27.05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The European Union's anti-corruption policy and its impact on law enforcement practice in Ukraine: directives and legal opinions of the Court of Justice of the European Union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”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23.01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Family disputes under martial law: justice for the protection of the family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23.01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Specific aspects of handling cases related to domestic violence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.953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23.01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Neuropsychological research in the field of judicial decision-making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26.01–28.01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The needs of victims in the justice system. Understanding gender-based violence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29.01–30.01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19.02–20.02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19.03–20.03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Specifics and special legal status of electronic evidence. Modern challenges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  <w:tab/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29.01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Conventional law in national judicial proceedings: economic aspect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29.01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Special aspects of judicial proceedings in criminal cases involving torture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30.01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Criminal and administrative liability of military personnel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30.01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Application of precautionary measures: standards of reasonableness and proportionality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February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Modern approaches to writing court decisions in criminal proceedings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quarter,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2025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fdfdfd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shd w:fill="fdfdfd" w:val="clear"/>
                <w:rtl w:val="0"/>
              </w:rPr>
              <w:t xml:space="preserve">Imposing effective and fair punishment. The role of probation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fdfdfd" w:val="clear"/>
                <w:vertAlign w:val="baseline"/>
                <w:rtl w:val="0"/>
              </w:rPr>
              <w:t xml:space="preserve">”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fdfdfd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05.02–06.02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Personal data protection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06.02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Disciplinary responsibility of judges: from theory to practice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06.02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Compensation for moral damage: current practice and specific features in certain categories of court cases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12.02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Forensic psychological examination and procedural features of interrogating minors in court proceedings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12.02–13.02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30.04–01.05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20.08–21.08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03.12–04.12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color w:val="333333"/>
                <w:sz w:val="24"/>
                <w:szCs w:val="24"/>
                <w:highlight w:val="white"/>
                <w:rtl w:val="0"/>
              </w:rPr>
              <w:t xml:space="preserve">Fundamentals of modern leadership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19.02 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Relevant issues of forensic examination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20.02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Features of the consideration of cases of administrative offences provided for in Article 130 of the Code of Ukraine on Administrative Offences under martial law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20.02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24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Criminal offences in the field of official and professional activities related to the provision of public services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20.02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Court practice in land disputes: problems with applying substantive and procedural law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25.02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Combating human trafficking under martial law and Ukraine's European integration commitments: what the EU expects from the justice system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04.03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Features of the administration of justice in cases involving domestic and gender-based violence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05.03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Introduction to EU law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05.03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Strategies for supporting mental health during the transition period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13.03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Composition of criminal offences under Article 111-1 of the Criminal Code of Ukraine (wartime collaboration): classification and differentiation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13.03 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Conventional law in national judicial proceedings: civil aspect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13.03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Access to justice and compliance of the applicant with procedural law requirements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Ensuring transparency and integrity in judicial activities through asset declarations as a display of accountability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18.03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Preparation and execution of international requests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5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20.03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Civil proceedings in the court of first instance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25.03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fdfdfd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Protection of consumer rights in the context of Ukraine's European integration: new standards and opportunities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fdfdfd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5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26.03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Compensation for damage caused by the Russian Federation in the course of armed aggression against citizens and legal entities in Ukraine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27.03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24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fdfdfd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shd w:fill="fdfdfd" w:val="clear"/>
                <w:rtl w:val="0"/>
              </w:rPr>
              <w:t xml:space="preserve">Insolvency of individuals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fdfdfd" w:val="clear"/>
                <w:vertAlign w:val="baseline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27.03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Ecocide crimes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April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Disputes in the field of protection of internally displaced persons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02.04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Appeal proceedings as a form of review of court decisions in administrative proceedings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03.04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The Art of Managing Court Proceedings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09.04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Property rights in wartime: problems of protection and peculiarities of case consideration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16.04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Ethical guidelines for the professional activity of judges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24.04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Protecting the rights and interests of children in family disputes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24.04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The concept of securing a claim as an effective mechanism for protecting rights in civil proceedings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27.04–28.04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Current issues of civil and criminal law in Supreme Court decisions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28.04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Legalisation of income obtained by criminal means: Ukraine's obligations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29.04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E-justice and artificial intelligence innovations: EU experience and prospects for Ukraine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5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14.05.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Access to public information. Features of law enforcement and current judicial practice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15.05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Conventional law in national judicial proceedings: criminal aspect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15.05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Report on the enforcement of court decisions in commercial disputes: initial results of the new mechanism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19.05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What it means to be a leader in court when the workload and pressure are increasing every day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22.05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Court proceedings in credit cases during martial law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5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28.05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Current issues in the application of commercial proceedings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29.05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24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fdfdfd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Application of the principle of non-refoulement in cases concerning refugees and asylum seekers: practice of the ECHR and national courts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fdfdfd" w:val="clear"/>
                <w:vertAlign w:val="baseline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5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How to talk to people who have experienced loss or violence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5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02.06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fdfdfd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fdfdfd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Legal regulation of personal data collection and protection in the EU: the genesis of EU law and its implementation processes in Ukraine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fdfdfd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04.06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Psychological challenges faced by judges when hearing family and criminal cases involving children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54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05.06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Gender norms and access to justice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Access to justice for internally displaced persons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19.06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When presence does not mean publicity (on the limits of ethical presence of judges in the media, social networks and public space)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19.06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The development of emotional and cognitive intelligence of a person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ІІ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quarter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Countering human trafficking in the context of armed conflict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ІІ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quarter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Human-centred approach to ensuring support and protection of victims' rights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19.06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Conditions for criminal (administrative) liability for military service offences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02.07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fdfdfd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fdfdfd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Features of court proceedings involving vulnerable groups of the population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fdfdfd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06.07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Current approaches of the Supreme Court in criminal proceedings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30.07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fdfdfd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fdfdfd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shd w:fill="fdfdfd" w:val="clear"/>
                <w:rtl w:val="0"/>
              </w:rPr>
              <w:t xml:space="preserve">Application of the Convention for the Protection of Human Rights and Fundamental Freedoms and the practice of the European Court of Justice regarding the right to defence in commercial proceedings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fdfdfd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Fair trial and assessment of evidence in criminal proceedings in light of ECHR practice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21.08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fdfdfd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fdfdfd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Representation in administrative proceedings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fdfdfd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28.08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Separate proceedings under martial law through the prism of unity in judicial practice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08.09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fdfdfd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fdfdfd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EU environmental policy: implementation of the ‘green policy’ and its interpretation by the Court of Justice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fdfdfd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10.09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fdfdfd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fdfdfd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Combating organised crime (general principles for combating organised crime)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fdfdfd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Promoting ECHR standards in civil cases and challenges to their implementation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Court proceedings in family disputes: balancing the rights of the child and the interests of the parents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29.09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Independence of the judiciary in the interpretation of the Court of Justice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29.09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The psychological resources of judges and work-life balance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October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Judicial review of disputes in the field of public procurement in the context of Ukraine's European integration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October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Neuropsychological research in the field of judicial decision-making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ІV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quarter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Features of judicial proceedings in criminal offences against public safety involving illegal handling of weapons, ammunition or explosives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02.10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Conventional law in national judicial proceedings: administrative aspect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16.10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Family disputes under martial law: justice for the protection of the family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Implementation of European standards in Ukrainian labour law and new approaches to labour regulation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22.10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EU standards in the fight against torture: the directive and the practice of the EU Court of Justice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22.10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Electronic court. Digital transformation of justice in Ukraine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23.10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From guarantees to implementation: judicial practice in the field of social protection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27.10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Self-assessment of the linguistic quality of court decisions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30.10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Forensic examination as a tool for establishing facts in complex categories of cases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November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Features of the consideration of pension and other social disputes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04.11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The judge's linguistic culture as a component of professional competence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05.11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Countering discrimination and hate crimes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 </w:t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16.11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Cybercrime and digital evidence in Ukrainian judicial practice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The limits of judicial discretion and the application of  evaluative concepts in commercial proceedings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26.11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 court decision as a text: from grammatical structure to style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26.11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Protecting the rights of businesses under martial law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27.11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Evidence assessment in criminal proceedings: current standards and common mistakes in judicial practice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01.12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Procedure for requesting a preliminary prejudicial ruling from the Court of Justice of the European Union: what judges in the national judiciary need to know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04.12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European standards of fair trial in civil cases: ECHR practice and implementation in Ukraine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04.12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Artificial intelligence in the daily work of judges: balancing technological support and challenges to professional independence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07.12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Fair justice and additional guarantees for the protection of human rights in wartime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An independent judiciary as a citizen's right and the foundation of a just society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even"/>
      <w:pgSz w:h="16838" w:w="11906" w:orient="portrait"/>
      <w:pgMar w:bottom="1135" w:top="1134" w:left="1134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Звичайний">
    <w:name w:val="Звичайний"/>
    <w:next w:val="Звичайни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ru-RU" w:val="uk-UA"/>
    </w:rPr>
  </w:style>
  <w:style w:type="paragraph" w:styleId="Заголовок1">
    <w:name w:val="Заголовок 1"/>
    <w:basedOn w:val="Звичайний"/>
    <w:next w:val="Заголовок1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 w:bidi="ar-SA" w:eastAsia="und" w:val="und"/>
    </w:rPr>
  </w:style>
  <w:style w:type="character" w:styleId="Шрифтабзацузапромовчанням">
    <w:name w:val="Шрифт абзацу за промовчанням"/>
    <w:next w:val="Шрифтабзацузапромовчанням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Звичайнатаблиця">
    <w:name w:val="Звичайна таблиця"/>
    <w:next w:val="Звичайнатаблиця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маєсписку">
    <w:name w:val="Немає списку"/>
    <w:next w:val="Немаєсписку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Сіткатаблиці">
    <w:name w:val="Сітка таблиці"/>
    <w:basedOn w:val="Звичайнатаблиця"/>
    <w:next w:val="Сіткатаблиці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  <w:tblPr>
      <w:tblStyle w:val="Сіткатаблиці"/>
      <w:jc w:val="left"/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Текстувиносці">
    <w:name w:val="Текст у виносці"/>
    <w:basedOn w:val="Звичайний"/>
    <w:next w:val="Текстувиносці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uk-UA"/>
    </w:rPr>
  </w:style>
  <w:style w:type="paragraph" w:styleId="Верхнійколонтитул">
    <w:name w:val="Верхній колонтитул"/>
    <w:basedOn w:val="Звичайний"/>
    <w:next w:val="Верхні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und" w:val="uk-UA"/>
    </w:rPr>
  </w:style>
  <w:style w:type="character" w:styleId="Номерсторінки">
    <w:name w:val="Номер сторінки"/>
    <w:basedOn w:val="Шрифтабзацузапромовчанням"/>
    <w:next w:val="Номерсторінки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161">
    <w:name w:val="st161"/>
    <w:next w:val="st161"/>
    <w:autoRedefine w:val="0"/>
    <w:hidden w:val="0"/>
    <w:qFormat w:val="0"/>
    <w:rPr>
      <w:rFonts w:ascii="Times New Roman" w:hAnsi="Times New Roman"/>
      <w:b w:val="1"/>
      <w:bCs w:val="1"/>
      <w:color w:val="000000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Нижнійколонтитул">
    <w:name w:val="Нижній колонтитул"/>
    <w:basedOn w:val="Звичайний"/>
    <w:next w:val="Нижні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und" w:val="uk-UA"/>
    </w:rPr>
  </w:style>
  <w:style w:type="character" w:styleId="НижнійколонтитулЗнак">
    <w:name w:val="Нижній колонтитул Знак"/>
    <w:next w:val="НижнійколонтитулЗнак"/>
    <w:autoRedefine w:val="0"/>
    <w:hidden w:val="0"/>
    <w:qFormat w:val="0"/>
    <w:rPr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СтандартныйHTML1">
    <w:name w:val="Стандартный HTML1"/>
    <w:basedOn w:val="Звичайний"/>
    <w:next w:val="СтандартныйHTML1"/>
    <w:autoRedefine w:val="0"/>
    <w:hidden w:val="0"/>
    <w:qFormat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0"/>
      <w:spacing w:line="100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uk-UA"/>
    </w:rPr>
  </w:style>
  <w:style w:type="paragraph" w:styleId="Стиль1">
    <w:name w:val="Стиль1"/>
    <w:basedOn w:val="Звичайний"/>
    <w:next w:val="Стиль1"/>
    <w:autoRedefine w:val="0"/>
    <w:hidden w:val="0"/>
    <w:qFormat w:val="0"/>
    <w:pPr>
      <w:widowControl w:val="0"/>
      <w:shd w:color="auto" w:fill="ffffff" w:val="clear"/>
      <w:suppressAutoHyphens w:val="1"/>
      <w:autoSpaceDE w:val="0"/>
      <w:autoSpaceDN w:val="0"/>
      <w:adjustRightInd w:val="0"/>
      <w:spacing w:line="1" w:lineRule="atLeast"/>
      <w:ind w:left="5" w:leftChars="-1" w:rightChars="0" w:firstLineChars="-1"/>
      <w:jc w:val="both"/>
      <w:textDirection w:val="btLr"/>
      <w:textAlignment w:val="top"/>
      <w:outlineLvl w:val="0"/>
    </w:pPr>
    <w:rPr>
      <w:spacing w:val="-7"/>
      <w:w w:val="100"/>
      <w:position w:val="-1"/>
      <w:sz w:val="28"/>
      <w:szCs w:val="28"/>
      <w:effect w:val="none"/>
      <w:vertAlign w:val="baseline"/>
      <w:cs w:val="0"/>
      <w:em w:val="none"/>
      <w:lang w:bidi="ar-SA" w:eastAsia="ru-RU" w:val="und"/>
    </w:rPr>
  </w:style>
  <w:style w:type="character" w:styleId="Стиль1Знак">
    <w:name w:val="Стиль1 Знак"/>
    <w:next w:val="Стиль1Знак"/>
    <w:autoRedefine w:val="0"/>
    <w:hidden w:val="0"/>
    <w:qFormat w:val="0"/>
    <w:rPr>
      <w:spacing w:val="-7"/>
      <w:w w:val="100"/>
      <w:position w:val="-1"/>
      <w:sz w:val="28"/>
      <w:szCs w:val="28"/>
      <w:effect w:val="none"/>
      <w:shd w:color="auto" w:fill="ffffff" w:val="clear"/>
      <w:vertAlign w:val="baseline"/>
      <w:cs w:val="0"/>
      <w:em w:val="none"/>
      <w:lang w:eastAsia="ru-RU"/>
    </w:rPr>
  </w:style>
  <w:style w:type="paragraph" w:styleId="Основнийтекст">
    <w:name w:val="Основний текст"/>
    <w:basedOn w:val="Звичайний"/>
    <w:next w:val="Основнийтекст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40"/>
      <w:szCs w:val="24"/>
      <w:effect w:val="none"/>
      <w:vertAlign w:val="baseline"/>
      <w:cs w:val="0"/>
      <w:em w:val="none"/>
      <w:lang w:bidi="ar-SA" w:eastAsia="und" w:val="uk-UA"/>
    </w:rPr>
  </w:style>
  <w:style w:type="character" w:styleId="ОсновнийтекстЗнак">
    <w:name w:val="Основний текст Знак"/>
    <w:next w:val="ОсновнийтекстЗнак"/>
    <w:autoRedefine w:val="0"/>
    <w:hidden w:val="0"/>
    <w:qFormat w:val="0"/>
    <w:rPr>
      <w:b w:val="1"/>
      <w:bCs w:val="1"/>
      <w:w w:val="100"/>
      <w:position w:val="-1"/>
      <w:sz w:val="40"/>
      <w:szCs w:val="24"/>
      <w:effect w:val="none"/>
      <w:vertAlign w:val="baseline"/>
      <w:cs w:val="0"/>
      <w:em w:val="none"/>
      <w:lang w:eastAsia="und" w:val="uk-UA"/>
    </w:rPr>
  </w:style>
  <w:style w:type="paragraph" w:styleId="PlanningCommittee">
    <w:name w:val="Planning Committee"/>
    <w:next w:val="PlanningCommittee"/>
    <w:autoRedefine w:val="0"/>
    <w:hidden w:val="0"/>
    <w:qFormat w:val="0"/>
    <w:pPr>
      <w:suppressAutoHyphens w:val="1"/>
      <w:autoSpaceDE w:val="0"/>
      <w:autoSpaceDN w:val="0"/>
      <w:adjustRightInd w:val="0"/>
      <w:spacing w:line="276" w:lineRule="auto"/>
      <w:ind w:left="992" w:leftChars="-1" w:rightChars="0" w:firstLineChars="-1"/>
      <w:textDirection w:val="btLr"/>
      <w:textAlignment w:val="center"/>
      <w:outlineLvl w:val="0"/>
    </w:pPr>
    <w:rPr>
      <w:rFonts w:ascii="Calibri" w:cs="Calibri" w:eastAsia="MS Mincho" w:hAnsi="Calibri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GB"/>
    </w:rPr>
  </w:style>
  <w:style w:type="character" w:styleId="FontStyle11">
    <w:name w:val="Font Style11"/>
    <w:next w:val="FontStyle11"/>
    <w:autoRedefine w:val="0"/>
    <w:hidden w:val="0"/>
    <w:qFormat w:val="0"/>
    <w:rPr>
      <w:rFonts w:ascii="Times New Roman" w:cs="Times New Roman" w:hAnsi="Times New Roman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Звичайний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k-UA"/>
    </w:rPr>
  </w:style>
  <w:style w:type="character" w:styleId="Гіперпосилання">
    <w:name w:val="Гіперпосилання"/>
    <w:next w:val="Гіперпосилання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ВерхнійколонтитулЗнак">
    <w:name w:val="Верхній колонтитул Знак"/>
    <w:next w:val="ВерхнійколонтитулЗнак"/>
    <w:autoRedefine w:val="0"/>
    <w:hidden w:val="0"/>
    <w:qFormat w:val="0"/>
    <w:rPr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Абзацсписку">
    <w:name w:val="Абзац списку"/>
    <w:basedOn w:val="Звичайний"/>
    <w:next w:val="Абзацсписку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Times New Roma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</w:style>
  <w:style w:type="character" w:styleId="Заголовок1Знак">
    <w:name w:val="Заголовок 1 Знак"/>
    <w:next w:val="Заголовок1Знак"/>
    <w:autoRedefine w:val="0"/>
    <w:hidden w:val="0"/>
    <w:qFormat w:val="0"/>
    <w:rPr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/>
    </w:rPr>
  </w:style>
  <w:style w:type="character" w:styleId="Знакпримітки">
    <w:name w:val="Знак примітки"/>
    <w:next w:val="Знакпримітки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Текстпримітки">
    <w:name w:val="Текст примітки"/>
    <w:basedOn w:val="Звичайний"/>
    <w:next w:val="Текстприміт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k-UA"/>
    </w:rPr>
  </w:style>
  <w:style w:type="character" w:styleId="ТекстприміткиЗнак">
    <w:name w:val="Текст примітки Знак"/>
    <w:next w:val="Текстпримітки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uk-UA"/>
    </w:rPr>
  </w:style>
  <w:style w:type="paragraph" w:styleId="Темапримітки">
    <w:name w:val="Тема примітки"/>
    <w:basedOn w:val="Текстпримітки"/>
    <w:next w:val="Текстприміт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k-UA"/>
    </w:rPr>
  </w:style>
  <w:style w:type="character" w:styleId="ТемаприміткиЗнак">
    <w:name w:val="Тема примітки Знак"/>
    <w:next w:val="ТемаприміткиЗнак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val="uk-UA"/>
    </w:rPr>
  </w:style>
  <w:style w:type="character" w:styleId="s1">
    <w:name w:val="s1"/>
    <w:next w:val="s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Редакція">
    <w:name w:val="Редакція"/>
    <w:next w:val="Редакція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ru-RU" w:val="uk-UA"/>
    </w:rPr>
  </w:style>
  <w:style w:type="character" w:styleId="apple-style-span">
    <w:name w:val="apple-style-span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вичайний(веб),Обычный(Интернет)">
    <w:name w:val="Звичайний (веб),Обычный (Интернет)"/>
    <w:basedOn w:val="Звичайний"/>
    <w:next w:val="Звичайний(веб),Обычный(Интернет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k-UA" w:val="uk-UA"/>
    </w:rPr>
  </w:style>
  <w:style w:type="character" w:styleId="xfmc1">
    <w:name w:val="xfmc1"/>
    <w:next w:val="xfmc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Строгий">
    <w:name w:val="Строгий"/>
    <w:next w:val="Строги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tandard">
    <w:name w:val="Standard"/>
    <w:next w:val="Standard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Tahoma" w:eastAsia="Segoe UI" w:hAnsi="Liberation Serif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uk-UA"/>
    </w:rPr>
  </w:style>
  <w:style w:type="paragraph" w:styleId="s4">
    <w:name w:val="s4"/>
    <w:basedOn w:val="Звичайний"/>
    <w:next w:val="s4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s10">
    <w:name w:val="s10"/>
    <w:next w:val="s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Обычный1">
    <w:name w:val="Обычный1"/>
    <w:next w:val="Обычный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uk-UA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13">
    <w:name w:val="s13"/>
    <w:next w:val="s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Безінтервалів">
    <w:name w:val="Без інтервалів"/>
    <w:next w:val="Безінтервалів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</w:style>
  <w:style w:type="character" w:styleId="s8">
    <w:name w:val="s8"/>
    <w:next w:val="s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5">
    <w:name w:val="s5"/>
    <w:next w:val="s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ato" w:cs="Lato" w:hAnsi="Lato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uk-UA" w:val="uk-UA"/>
    </w:rPr>
  </w:style>
  <w:style w:type="character" w:styleId="object">
    <w:name w:val="object"/>
    <w:next w:val="objec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Виділення">
    <w:name w:val="Виділення"/>
    <w:next w:val="Виділення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Основнойтекст(2)_">
    <w:name w:val="Основной текст (2)_"/>
    <w:next w:val="Основнойтекст(2)_"/>
    <w:autoRedefine w:val="0"/>
    <w:hidden w:val="0"/>
    <w:qFormat w:val="0"/>
    <w:rPr>
      <w:spacing w:val="9"/>
      <w:w w:val="100"/>
      <w:position w:val="-1"/>
      <w:sz w:val="25"/>
      <w:szCs w:val="25"/>
      <w:effect w:val="none"/>
      <w:vertAlign w:val="baseline"/>
      <w:cs w:val="0"/>
      <w:em w:val="none"/>
      <w:lang/>
    </w:rPr>
  </w:style>
  <w:style w:type="paragraph" w:styleId="Основнойтекст(2)">
    <w:name w:val="Основной текст (2)"/>
    <w:basedOn w:val="Звичайний"/>
    <w:next w:val="Основнойтекст(2)"/>
    <w:autoRedefine w:val="0"/>
    <w:hidden w:val="0"/>
    <w:qFormat w:val="0"/>
    <w:pPr>
      <w:suppressAutoHyphens w:val="1"/>
      <w:spacing w:line="0" w:lineRule="atLeast"/>
      <w:ind w:leftChars="-1" w:rightChars="0" w:firstLineChars="-1"/>
      <w:textDirection w:val="btLr"/>
      <w:textAlignment w:val="top"/>
      <w:outlineLvl w:val="0"/>
    </w:pPr>
    <w:rPr>
      <w:spacing w:val="9"/>
      <w:w w:val="100"/>
      <w:position w:val="-1"/>
      <w:sz w:val="25"/>
      <w:szCs w:val="25"/>
      <w:effect w:val="none"/>
      <w:vertAlign w:val="baseline"/>
      <w:cs w:val="0"/>
      <w:em w:val="none"/>
      <w:lang w:bidi="ar-SA" w:eastAsia="uk-UA" w:val="uk-UA"/>
    </w:rPr>
  </w:style>
  <w:style w:type="paragraph" w:styleId="p1">
    <w:name w:val="p1"/>
    <w:basedOn w:val="Звичайний"/>
    <w:next w:val="p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18"/>
      <w:szCs w:val="18"/>
      <w:effect w:val="none"/>
      <w:vertAlign w:val="baseline"/>
      <w:cs w:val="0"/>
      <w:em w:val="none"/>
      <w:lang w:bidi="ar-SA" w:eastAsia="ru-RU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dC4oV05danI4CYrxYIJAlEEEnA==">CgMxLjA4AHIhMTRuYmxXX2EybXVzV2RpVk5zdk9TTXctcWgtYU1pRGdp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2025-11-24T08:58:00Z</dcterms:created>
  <dc:creator>W31241</dc:creator>
</cp:coreProperties>
</file>